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A4F75">
      <w:pPr>
        <w:widowControl/>
        <w:spacing w:line="600" w:lineRule="exact"/>
        <w:ind w:firstLine="482" w:firstLineChars="200"/>
        <w:jc w:val="center"/>
        <w:rPr>
          <w:rFonts w:hint="default" w:ascii="宋体" w:hAnsi="宋体" w:eastAsia="宋体" w:cs="宋体"/>
          <w:b/>
          <w:color w:val="333333"/>
          <w:kern w:val="0"/>
          <w:sz w:val="24"/>
          <w:szCs w:val="24"/>
          <w:lang w:val="en-US" w:eastAsia="zh-CN"/>
        </w:rPr>
      </w:pPr>
      <w:bookmarkStart w:id="19" w:name="_GoBack"/>
      <w:bookmarkEnd w:id="19"/>
      <w:r>
        <w:rPr>
          <w:rFonts w:hint="eastAsia" w:cs="宋体" w:asciiTheme="minorEastAsia" w:hAnsiTheme="minorEastAsia"/>
          <w:b/>
          <w:bCs/>
          <w:color w:val="000000" w:themeColor="text1"/>
          <w:kern w:val="0"/>
          <w:sz w:val="24"/>
          <w:szCs w:val="24"/>
        </w:rPr>
        <w:t>检验试剂及耗材</w:t>
      </w:r>
      <w:r>
        <w:rPr>
          <w:rFonts w:hint="eastAsia" w:ascii="宋体" w:hAnsi="宋体" w:eastAsia="宋体" w:cs="宋体"/>
          <w:b/>
          <w:color w:val="333333"/>
          <w:kern w:val="0"/>
          <w:sz w:val="24"/>
          <w:szCs w:val="24"/>
        </w:rPr>
        <w:t>询价公告</w:t>
      </w:r>
      <w:r>
        <w:rPr>
          <w:rFonts w:hint="eastAsia" w:ascii="宋体" w:hAnsi="宋体" w:eastAsia="宋体" w:cs="宋体"/>
          <w:b/>
          <w:color w:val="333333"/>
          <w:kern w:val="0"/>
          <w:sz w:val="24"/>
          <w:szCs w:val="24"/>
          <w:lang w:eastAsia="zh-CN"/>
        </w:rPr>
        <w:t>（</w:t>
      </w:r>
      <w:r>
        <w:rPr>
          <w:rFonts w:hint="eastAsia" w:ascii="宋体" w:hAnsi="宋体" w:eastAsia="宋体" w:cs="宋体"/>
          <w:b/>
          <w:color w:val="333333"/>
          <w:kern w:val="0"/>
          <w:sz w:val="24"/>
          <w:szCs w:val="24"/>
          <w:lang w:val="en-US" w:eastAsia="zh-CN"/>
        </w:rPr>
        <w:t>202504102</w:t>
      </w:r>
      <w:r>
        <w:rPr>
          <w:rFonts w:hint="eastAsia" w:ascii="宋体" w:hAnsi="宋体" w:eastAsia="宋体" w:cs="宋体"/>
          <w:b/>
          <w:color w:val="333333"/>
          <w:kern w:val="0"/>
          <w:sz w:val="24"/>
          <w:szCs w:val="24"/>
          <w:lang w:eastAsia="zh-CN"/>
        </w:rPr>
        <w:t>）</w:t>
      </w:r>
    </w:p>
    <w:p w14:paraId="01D2BDB3">
      <w:pPr>
        <w:pStyle w:val="6"/>
        <w:shd w:val="clear" w:color="auto" w:fill="FFFFFF"/>
        <w:spacing w:before="0" w:beforeAutospacing="0" w:after="0" w:afterAutospacing="0"/>
        <w:ind w:firstLine="480" w:firstLineChars="200"/>
        <w:rPr>
          <w:color w:val="454545"/>
        </w:rPr>
      </w:pPr>
      <w:r>
        <w:rPr>
          <w:rFonts w:hint="eastAsia"/>
          <w:color w:val="454545"/>
        </w:rPr>
        <w:t>因业务需要，我院拟以询价方式对</w:t>
      </w:r>
      <w:r>
        <w:rPr>
          <w:rFonts w:hint="eastAsia" w:asciiTheme="minorEastAsia" w:hAnsiTheme="minorEastAsia"/>
          <w:bCs/>
          <w:color w:val="333333"/>
        </w:rPr>
        <w:t>检验试剂</w:t>
      </w:r>
      <w:r>
        <w:rPr>
          <w:rFonts w:hint="eastAsia"/>
          <w:color w:val="454545"/>
        </w:rPr>
        <w:t>及配套耗材进行采购，现将有关事项公告如下：</w:t>
      </w:r>
    </w:p>
    <w:p w14:paraId="4D669731">
      <w:pPr>
        <w:pStyle w:val="6"/>
        <w:shd w:val="clear" w:color="auto" w:fill="FFFFFF"/>
        <w:spacing w:before="0" w:beforeAutospacing="0" w:after="0" w:afterAutospacing="0"/>
        <w:rPr>
          <w:color w:val="454545"/>
        </w:rPr>
      </w:pPr>
      <w:r>
        <w:rPr>
          <w:rFonts w:hint="eastAsia"/>
          <w:color w:val="454545"/>
        </w:rPr>
        <w:t>一、采购方式：询价采购</w:t>
      </w:r>
    </w:p>
    <w:p w14:paraId="4C757EB9">
      <w:pPr>
        <w:pStyle w:val="6"/>
        <w:shd w:val="clear" w:color="auto" w:fill="FFFFFF"/>
        <w:spacing w:before="0" w:beforeAutospacing="0" w:after="0" w:afterAutospacing="0"/>
        <w:rPr>
          <w:rFonts w:asciiTheme="minorEastAsia" w:hAnsiTheme="minorEastAsia"/>
          <w:b/>
          <w:bCs/>
          <w:color w:val="000000" w:themeColor="text1"/>
        </w:rPr>
      </w:pPr>
      <w:r>
        <w:rPr>
          <w:rFonts w:hint="eastAsia"/>
          <w:color w:val="454545"/>
        </w:rPr>
        <w:t>二、</w:t>
      </w:r>
      <w:r>
        <w:rPr>
          <w:rFonts w:hint="eastAsia" w:asciiTheme="minorEastAsia" w:hAnsiTheme="minorEastAsia"/>
          <w:b/>
          <w:bCs/>
          <w:color w:val="000000" w:themeColor="text1"/>
        </w:rPr>
        <w:t>项目概况</w:t>
      </w:r>
    </w:p>
    <w:p w14:paraId="6FFE0EE3">
      <w:pPr>
        <w:pStyle w:val="6"/>
        <w:shd w:val="clear" w:color="auto" w:fill="FFFFFF"/>
        <w:spacing w:before="0" w:beforeAutospacing="0" w:after="0" w:afterAutospacing="0"/>
        <w:rPr>
          <w:rFonts w:asciiTheme="minorEastAsia" w:hAnsiTheme="minorEastAsia"/>
          <w:b/>
          <w:bCs/>
          <w:color w:val="333333"/>
        </w:rPr>
      </w:pPr>
      <w:r>
        <w:rPr>
          <w:rFonts w:hint="eastAsia" w:asciiTheme="minorEastAsia" w:hAnsiTheme="minorEastAsia"/>
          <w:bCs/>
          <w:color w:val="333333"/>
        </w:rPr>
        <w:t>2.1采购项目：检验试剂及耗材</w:t>
      </w:r>
    </w:p>
    <w:tbl>
      <w:tblPr>
        <w:tblStyle w:val="8"/>
        <w:tblW w:w="10020" w:type="dxa"/>
        <w:tblInd w:w="95" w:type="dxa"/>
        <w:tblLayout w:type="autofit"/>
        <w:tblCellMar>
          <w:top w:w="0" w:type="dxa"/>
          <w:left w:w="108" w:type="dxa"/>
          <w:bottom w:w="0" w:type="dxa"/>
          <w:right w:w="108" w:type="dxa"/>
        </w:tblCellMar>
      </w:tblPr>
      <w:tblGrid>
        <w:gridCol w:w="920"/>
        <w:gridCol w:w="2800"/>
        <w:gridCol w:w="2220"/>
        <w:gridCol w:w="1640"/>
        <w:gridCol w:w="2440"/>
      </w:tblGrid>
      <w:tr w14:paraId="714310E9">
        <w:tblPrEx>
          <w:tblCellMar>
            <w:top w:w="0" w:type="dxa"/>
            <w:left w:w="108" w:type="dxa"/>
            <w:bottom w:w="0" w:type="dxa"/>
            <w:right w:w="108" w:type="dxa"/>
          </w:tblCellMar>
        </w:tblPrEx>
        <w:trPr>
          <w:trHeight w:val="780" w:hRule="atLeast"/>
        </w:trPr>
        <w:tc>
          <w:tcPr>
            <w:tcW w:w="920" w:type="dxa"/>
            <w:tcBorders>
              <w:top w:val="single" w:color="auto" w:sz="4" w:space="0"/>
              <w:left w:val="single" w:color="auto" w:sz="4" w:space="0"/>
              <w:bottom w:val="single" w:color="auto" w:sz="4" w:space="0"/>
              <w:right w:val="single" w:color="auto" w:sz="4" w:space="0"/>
            </w:tcBorders>
            <w:shd w:val="clear" w:color="000000" w:fill="FFFFFF"/>
            <w:vAlign w:val="center"/>
          </w:tcPr>
          <w:p w14:paraId="1C24807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包号</w:t>
            </w:r>
          </w:p>
        </w:tc>
        <w:tc>
          <w:tcPr>
            <w:tcW w:w="2800" w:type="dxa"/>
            <w:tcBorders>
              <w:top w:val="single" w:color="auto" w:sz="4" w:space="0"/>
              <w:left w:val="nil"/>
              <w:bottom w:val="single" w:color="auto" w:sz="4" w:space="0"/>
              <w:right w:val="single" w:color="auto" w:sz="4" w:space="0"/>
            </w:tcBorders>
            <w:shd w:val="clear" w:color="000000" w:fill="FFFFFF"/>
            <w:vAlign w:val="center"/>
          </w:tcPr>
          <w:p w14:paraId="6202FE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检验试剂名称</w:t>
            </w:r>
          </w:p>
        </w:tc>
        <w:tc>
          <w:tcPr>
            <w:tcW w:w="2220" w:type="dxa"/>
            <w:tcBorders>
              <w:top w:val="single" w:color="auto" w:sz="4" w:space="0"/>
              <w:left w:val="nil"/>
              <w:bottom w:val="single" w:color="auto" w:sz="4" w:space="0"/>
              <w:right w:val="single" w:color="auto" w:sz="4" w:space="0"/>
            </w:tcBorders>
            <w:shd w:val="clear" w:color="000000" w:fill="FFFFFF"/>
            <w:vAlign w:val="center"/>
          </w:tcPr>
          <w:p w14:paraId="095D8F9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方法学</w:t>
            </w:r>
          </w:p>
        </w:tc>
        <w:tc>
          <w:tcPr>
            <w:tcW w:w="1640" w:type="dxa"/>
            <w:tcBorders>
              <w:top w:val="single" w:color="auto" w:sz="4" w:space="0"/>
              <w:left w:val="nil"/>
              <w:bottom w:val="single" w:color="auto" w:sz="4" w:space="0"/>
              <w:right w:val="nil"/>
            </w:tcBorders>
            <w:shd w:val="clear" w:color="auto" w:fill="auto"/>
            <w:vAlign w:val="center"/>
          </w:tcPr>
          <w:p w14:paraId="16353012">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最高投标单价</w:t>
            </w:r>
          </w:p>
        </w:tc>
        <w:tc>
          <w:tcPr>
            <w:tcW w:w="2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3B12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要求</w:t>
            </w:r>
          </w:p>
        </w:tc>
      </w:tr>
      <w:tr w14:paraId="62086ADD">
        <w:tblPrEx>
          <w:tblCellMar>
            <w:top w:w="0" w:type="dxa"/>
            <w:left w:w="108" w:type="dxa"/>
            <w:bottom w:w="0" w:type="dxa"/>
            <w:right w:w="108" w:type="dxa"/>
          </w:tblCellMar>
        </w:tblPrEx>
        <w:trPr>
          <w:trHeight w:val="780" w:hRule="atLeast"/>
        </w:trPr>
        <w:tc>
          <w:tcPr>
            <w:tcW w:w="920" w:type="dxa"/>
            <w:vMerge w:val="restart"/>
            <w:tcBorders>
              <w:top w:val="single" w:color="auto" w:sz="4" w:space="0"/>
              <w:left w:val="single" w:color="auto" w:sz="4" w:space="0"/>
              <w:right w:val="single" w:color="auto" w:sz="4" w:space="0"/>
            </w:tcBorders>
            <w:shd w:val="clear" w:color="000000" w:fill="FFFFFF"/>
            <w:vAlign w:val="center"/>
          </w:tcPr>
          <w:p w14:paraId="6E86C50F">
            <w:pPr>
              <w:widowControl/>
              <w:jc w:val="left"/>
              <w:rPr>
                <w:rFonts w:ascii="宋体" w:hAnsi="宋体" w:eastAsia="宋体" w:cs="宋体"/>
                <w:color w:val="454545"/>
                <w:kern w:val="0"/>
                <w:sz w:val="24"/>
                <w:szCs w:val="24"/>
              </w:rPr>
            </w:pPr>
            <w:r>
              <w:rPr>
                <w:rFonts w:hint="eastAsia" w:ascii="宋体" w:hAnsi="宋体" w:eastAsia="宋体" w:cs="宋体"/>
                <w:color w:val="454545"/>
                <w:kern w:val="0"/>
                <w:sz w:val="24"/>
                <w:szCs w:val="24"/>
              </w:rPr>
              <w:t>第一包</w:t>
            </w:r>
          </w:p>
        </w:tc>
        <w:tc>
          <w:tcPr>
            <w:tcW w:w="2800" w:type="dxa"/>
            <w:tcBorders>
              <w:top w:val="single" w:color="auto" w:sz="4" w:space="0"/>
              <w:left w:val="nil"/>
              <w:bottom w:val="single" w:color="auto" w:sz="4" w:space="0"/>
              <w:right w:val="single" w:color="auto" w:sz="4" w:space="0"/>
            </w:tcBorders>
            <w:shd w:val="clear" w:color="000000" w:fill="FFFFFF"/>
            <w:vAlign w:val="center"/>
          </w:tcPr>
          <w:p w14:paraId="5A045E6F">
            <w:pPr>
              <w:widowControl/>
              <w:jc w:val="both"/>
              <w:rPr>
                <w:rFonts w:hint="eastAsia" w:ascii="宋体" w:hAnsi="宋体" w:eastAsia="宋体" w:cs="宋体"/>
                <w:b/>
                <w:bCs/>
                <w:color w:val="auto"/>
                <w:kern w:val="0"/>
                <w:sz w:val="24"/>
                <w:szCs w:val="24"/>
              </w:rPr>
            </w:pPr>
            <w:r>
              <w:rPr>
                <w:rFonts w:hint="eastAsia" w:ascii="宋体" w:hAnsi="宋体" w:eastAsia="宋体" w:cs="宋体"/>
                <w:color w:val="auto"/>
                <w:kern w:val="0"/>
                <w:sz w:val="22"/>
                <w:lang w:eastAsia="zh-CN"/>
              </w:rPr>
              <w:t>抗甲状腺球蛋白抗体</w:t>
            </w:r>
            <w:r>
              <w:rPr>
                <w:rFonts w:hint="eastAsia" w:ascii="宋体" w:hAnsi="宋体" w:eastAsia="宋体" w:cs="宋体"/>
                <w:color w:val="auto"/>
                <w:kern w:val="0"/>
                <w:sz w:val="22"/>
                <w:lang w:val="en-US" w:eastAsia="zh-CN"/>
              </w:rPr>
              <w:t>Anti-Tg</w:t>
            </w:r>
          </w:p>
        </w:tc>
        <w:tc>
          <w:tcPr>
            <w:tcW w:w="2220" w:type="dxa"/>
            <w:tcBorders>
              <w:top w:val="single" w:color="auto" w:sz="4" w:space="0"/>
              <w:left w:val="nil"/>
              <w:bottom w:val="single" w:color="auto" w:sz="4" w:space="0"/>
              <w:right w:val="single" w:color="auto" w:sz="4" w:space="0"/>
            </w:tcBorders>
            <w:shd w:val="clear" w:color="000000" w:fill="FFFFFF"/>
            <w:vAlign w:val="center"/>
          </w:tcPr>
          <w:p w14:paraId="1F451810">
            <w:pPr>
              <w:widowControl/>
              <w:jc w:val="center"/>
              <w:rPr>
                <w:rFonts w:hint="eastAsia" w:ascii="宋体" w:hAnsi="宋体" w:eastAsia="宋体" w:cs="宋体"/>
                <w:b/>
                <w:bCs/>
                <w:color w:val="auto"/>
                <w:kern w:val="0"/>
                <w:sz w:val="24"/>
                <w:szCs w:val="24"/>
              </w:rPr>
            </w:pPr>
            <w:r>
              <w:rPr>
                <w:rFonts w:hint="eastAsia" w:ascii="宋体" w:hAnsi="宋体" w:eastAsia="宋体" w:cs="宋体"/>
                <w:color w:val="auto"/>
                <w:kern w:val="0"/>
                <w:sz w:val="22"/>
              </w:rPr>
              <w:t>化学发光免疫测定法</w:t>
            </w:r>
          </w:p>
        </w:tc>
        <w:tc>
          <w:tcPr>
            <w:tcW w:w="1640" w:type="dxa"/>
            <w:tcBorders>
              <w:top w:val="single" w:color="auto" w:sz="4" w:space="0"/>
              <w:left w:val="nil"/>
              <w:bottom w:val="single" w:color="auto" w:sz="4" w:space="0"/>
              <w:right w:val="nil"/>
            </w:tcBorders>
            <w:shd w:val="clear" w:color="auto" w:fill="auto"/>
            <w:vAlign w:val="center"/>
          </w:tcPr>
          <w:p w14:paraId="652C66B7">
            <w:pPr>
              <w:widowControl/>
              <w:jc w:val="left"/>
              <w:rPr>
                <w:rFonts w:hint="eastAsia" w:ascii="宋体" w:hAnsi="宋体" w:eastAsia="宋体" w:cs="宋体"/>
                <w:b/>
                <w:bCs/>
                <w:color w:val="auto"/>
                <w:kern w:val="0"/>
                <w:sz w:val="24"/>
                <w:szCs w:val="24"/>
              </w:rPr>
            </w:pPr>
            <w:r>
              <w:rPr>
                <w:rFonts w:hint="eastAsia" w:ascii="宋体" w:hAnsi="宋体" w:eastAsia="宋体" w:cs="宋体"/>
                <w:color w:val="auto"/>
                <w:kern w:val="0"/>
                <w:sz w:val="22"/>
                <w:lang w:val="en-US" w:eastAsia="zh-CN"/>
              </w:rPr>
              <w:t>10.38</w:t>
            </w:r>
            <w:r>
              <w:rPr>
                <w:rFonts w:hint="eastAsia" w:ascii="宋体" w:hAnsi="宋体" w:eastAsia="宋体" w:cs="宋体"/>
                <w:color w:val="auto"/>
                <w:kern w:val="0"/>
                <w:sz w:val="22"/>
              </w:rPr>
              <w:t>元/人份</w:t>
            </w:r>
          </w:p>
        </w:tc>
        <w:tc>
          <w:tcPr>
            <w:tcW w:w="24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F4D635">
            <w:pPr>
              <w:widowControl/>
              <w:jc w:val="left"/>
              <w:rPr>
                <w:rFonts w:hint="eastAsia" w:ascii="宋体" w:hAnsi="宋体" w:eastAsia="宋体" w:cs="宋体"/>
                <w:b/>
                <w:bCs/>
                <w:kern w:val="0"/>
                <w:sz w:val="24"/>
                <w:szCs w:val="24"/>
              </w:rPr>
            </w:pPr>
            <w:r>
              <w:rPr>
                <w:rFonts w:hint="eastAsia" w:ascii="宋体" w:hAnsi="宋体" w:eastAsia="宋体" w:cs="宋体"/>
                <w:kern w:val="0"/>
                <w:sz w:val="22"/>
              </w:rPr>
              <w:t>适用迈瑞CL-2000i</w:t>
            </w:r>
          </w:p>
        </w:tc>
      </w:tr>
      <w:tr w14:paraId="6D359EAC">
        <w:tblPrEx>
          <w:tblCellMar>
            <w:top w:w="0" w:type="dxa"/>
            <w:left w:w="108" w:type="dxa"/>
            <w:bottom w:w="0" w:type="dxa"/>
            <w:right w:w="108" w:type="dxa"/>
          </w:tblCellMar>
        </w:tblPrEx>
        <w:trPr>
          <w:trHeight w:val="780" w:hRule="atLeast"/>
        </w:trPr>
        <w:tc>
          <w:tcPr>
            <w:tcW w:w="920" w:type="dxa"/>
            <w:vMerge w:val="continue"/>
            <w:tcBorders>
              <w:left w:val="single" w:color="auto" w:sz="4" w:space="0"/>
              <w:right w:val="single" w:color="auto" w:sz="4" w:space="0"/>
            </w:tcBorders>
            <w:shd w:val="clear" w:color="000000" w:fill="FFFFFF"/>
            <w:vAlign w:val="center"/>
          </w:tcPr>
          <w:p w14:paraId="67B1184B">
            <w:pPr>
              <w:widowControl/>
              <w:jc w:val="center"/>
              <w:rPr>
                <w:rFonts w:hint="eastAsia" w:ascii="宋体" w:hAnsi="宋体" w:eastAsia="宋体" w:cs="宋体"/>
                <w:b/>
                <w:bCs/>
                <w:kern w:val="0"/>
                <w:sz w:val="24"/>
                <w:szCs w:val="24"/>
              </w:rPr>
            </w:pPr>
          </w:p>
        </w:tc>
        <w:tc>
          <w:tcPr>
            <w:tcW w:w="2800" w:type="dxa"/>
            <w:tcBorders>
              <w:top w:val="single" w:color="auto" w:sz="4" w:space="0"/>
              <w:left w:val="nil"/>
              <w:bottom w:val="single" w:color="auto" w:sz="4" w:space="0"/>
              <w:right w:val="single" w:color="auto" w:sz="4" w:space="0"/>
            </w:tcBorders>
            <w:shd w:val="clear" w:color="000000" w:fill="FFFFFF"/>
            <w:vAlign w:val="center"/>
          </w:tcPr>
          <w:p w14:paraId="1D2EF50B">
            <w:pPr>
              <w:widowControl/>
              <w:jc w:val="both"/>
              <w:rPr>
                <w:rFonts w:hint="eastAsia" w:ascii="宋体" w:hAnsi="宋体" w:eastAsia="宋体" w:cs="宋体"/>
                <w:b/>
                <w:bCs/>
                <w:color w:val="auto"/>
                <w:kern w:val="0"/>
                <w:sz w:val="24"/>
                <w:szCs w:val="24"/>
              </w:rPr>
            </w:pPr>
            <w:r>
              <w:rPr>
                <w:rFonts w:hint="eastAsia" w:ascii="宋体" w:hAnsi="宋体" w:eastAsia="宋体" w:cs="宋体"/>
                <w:color w:val="auto"/>
                <w:kern w:val="0"/>
                <w:sz w:val="22"/>
                <w:lang w:eastAsia="zh-CN"/>
              </w:rPr>
              <w:t>抗甲状腺过氧化物酶抗体</w:t>
            </w:r>
            <w:r>
              <w:rPr>
                <w:rFonts w:hint="eastAsia" w:ascii="宋体" w:hAnsi="宋体" w:eastAsia="宋体" w:cs="宋体"/>
                <w:color w:val="auto"/>
                <w:kern w:val="0"/>
                <w:sz w:val="22"/>
                <w:lang w:val="en-US" w:eastAsia="zh-CN"/>
              </w:rPr>
              <w:t>Anti-TPO</w:t>
            </w:r>
          </w:p>
        </w:tc>
        <w:tc>
          <w:tcPr>
            <w:tcW w:w="2220" w:type="dxa"/>
            <w:tcBorders>
              <w:top w:val="single" w:color="auto" w:sz="4" w:space="0"/>
              <w:left w:val="nil"/>
              <w:bottom w:val="single" w:color="auto" w:sz="4" w:space="0"/>
              <w:right w:val="single" w:color="auto" w:sz="4" w:space="0"/>
            </w:tcBorders>
            <w:shd w:val="clear" w:color="000000" w:fill="FFFFFF"/>
            <w:vAlign w:val="center"/>
          </w:tcPr>
          <w:p w14:paraId="4EADE598">
            <w:pPr>
              <w:widowControl/>
              <w:jc w:val="center"/>
              <w:rPr>
                <w:rFonts w:hint="eastAsia" w:ascii="宋体" w:hAnsi="宋体" w:eastAsia="宋体" w:cs="宋体"/>
                <w:b/>
                <w:bCs/>
                <w:color w:val="auto"/>
                <w:kern w:val="0"/>
                <w:sz w:val="24"/>
                <w:szCs w:val="24"/>
              </w:rPr>
            </w:pPr>
            <w:r>
              <w:rPr>
                <w:rFonts w:hint="eastAsia" w:ascii="宋体" w:hAnsi="宋体" w:eastAsia="宋体" w:cs="宋体"/>
                <w:color w:val="auto"/>
                <w:kern w:val="0"/>
                <w:sz w:val="22"/>
              </w:rPr>
              <w:t>化学发光免疫测定法</w:t>
            </w:r>
          </w:p>
        </w:tc>
        <w:tc>
          <w:tcPr>
            <w:tcW w:w="1640" w:type="dxa"/>
            <w:tcBorders>
              <w:top w:val="single" w:color="auto" w:sz="4" w:space="0"/>
              <w:left w:val="nil"/>
              <w:bottom w:val="single" w:color="auto" w:sz="4" w:space="0"/>
              <w:right w:val="nil"/>
            </w:tcBorders>
            <w:shd w:val="clear" w:color="auto" w:fill="auto"/>
            <w:vAlign w:val="center"/>
          </w:tcPr>
          <w:p w14:paraId="0C0601C1">
            <w:pPr>
              <w:widowControl/>
              <w:jc w:val="left"/>
              <w:rPr>
                <w:rFonts w:hint="eastAsia" w:ascii="宋体" w:hAnsi="宋体" w:eastAsia="宋体" w:cs="宋体"/>
                <w:b/>
                <w:bCs/>
                <w:color w:val="auto"/>
                <w:kern w:val="0"/>
                <w:sz w:val="24"/>
                <w:szCs w:val="24"/>
              </w:rPr>
            </w:pPr>
            <w:r>
              <w:rPr>
                <w:rFonts w:hint="eastAsia" w:ascii="宋体" w:hAnsi="宋体" w:eastAsia="宋体" w:cs="宋体"/>
                <w:color w:val="auto"/>
                <w:kern w:val="0"/>
                <w:sz w:val="22"/>
                <w:lang w:val="en-US" w:eastAsia="zh-CN"/>
              </w:rPr>
              <w:t>8.4</w:t>
            </w:r>
            <w:r>
              <w:rPr>
                <w:rFonts w:hint="eastAsia" w:ascii="宋体" w:hAnsi="宋体" w:eastAsia="宋体" w:cs="宋体"/>
                <w:color w:val="auto"/>
                <w:kern w:val="0"/>
                <w:sz w:val="22"/>
              </w:rPr>
              <w:t>元/人份</w:t>
            </w:r>
          </w:p>
        </w:tc>
        <w:tc>
          <w:tcPr>
            <w:tcW w:w="24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4DDE61">
            <w:pPr>
              <w:widowControl/>
              <w:jc w:val="left"/>
              <w:rPr>
                <w:rFonts w:hint="eastAsia" w:ascii="宋体" w:hAnsi="宋体" w:eastAsia="宋体" w:cs="宋体"/>
                <w:b/>
                <w:bCs/>
                <w:kern w:val="0"/>
                <w:sz w:val="24"/>
                <w:szCs w:val="24"/>
              </w:rPr>
            </w:pPr>
            <w:r>
              <w:rPr>
                <w:rFonts w:hint="eastAsia" w:ascii="宋体" w:hAnsi="宋体" w:eastAsia="宋体" w:cs="宋体"/>
                <w:kern w:val="0"/>
                <w:sz w:val="22"/>
              </w:rPr>
              <w:t>适用迈瑞CL-2000i</w:t>
            </w:r>
          </w:p>
        </w:tc>
      </w:tr>
      <w:tr w14:paraId="465E682D">
        <w:tblPrEx>
          <w:tblCellMar>
            <w:top w:w="0" w:type="dxa"/>
            <w:left w:w="108" w:type="dxa"/>
            <w:bottom w:w="0" w:type="dxa"/>
            <w:right w:w="108" w:type="dxa"/>
          </w:tblCellMar>
        </w:tblPrEx>
        <w:trPr>
          <w:trHeight w:val="480" w:hRule="atLeast"/>
        </w:trPr>
        <w:tc>
          <w:tcPr>
            <w:tcW w:w="920" w:type="dxa"/>
            <w:vMerge w:val="continue"/>
            <w:tcBorders>
              <w:left w:val="single" w:color="auto" w:sz="4" w:space="0"/>
              <w:right w:val="single" w:color="auto" w:sz="4" w:space="0"/>
            </w:tcBorders>
            <w:vAlign w:val="center"/>
          </w:tcPr>
          <w:p w14:paraId="684536AC">
            <w:pPr>
              <w:widowControl/>
              <w:jc w:val="left"/>
              <w:rPr>
                <w:rFonts w:ascii="宋体" w:hAnsi="宋体" w:eastAsia="宋体" w:cs="宋体"/>
                <w:color w:val="454545"/>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68F5F49B">
            <w:pPr>
              <w:widowControl/>
              <w:jc w:val="left"/>
              <w:rPr>
                <w:rFonts w:ascii="宋体" w:hAnsi="宋体" w:eastAsia="宋体" w:cs="宋体"/>
                <w:kern w:val="0"/>
                <w:sz w:val="22"/>
              </w:rPr>
            </w:pPr>
            <w:r>
              <w:rPr>
                <w:rFonts w:hint="eastAsia" w:ascii="宋体" w:hAnsi="宋体" w:eastAsia="宋体" w:cs="宋体"/>
                <w:kern w:val="0"/>
                <w:sz w:val="22"/>
              </w:rPr>
              <w:t>铁蛋白</w:t>
            </w:r>
          </w:p>
        </w:tc>
        <w:tc>
          <w:tcPr>
            <w:tcW w:w="2220" w:type="dxa"/>
            <w:tcBorders>
              <w:top w:val="nil"/>
              <w:left w:val="nil"/>
              <w:bottom w:val="single" w:color="auto" w:sz="4" w:space="0"/>
              <w:right w:val="single" w:color="auto" w:sz="4" w:space="0"/>
            </w:tcBorders>
            <w:shd w:val="clear" w:color="000000" w:fill="FFFFFF"/>
            <w:noWrap/>
            <w:vAlign w:val="bottom"/>
          </w:tcPr>
          <w:p w14:paraId="6F510684">
            <w:pPr>
              <w:widowControl/>
              <w:jc w:val="left"/>
              <w:rPr>
                <w:rFonts w:ascii="宋体" w:hAnsi="宋体" w:eastAsia="宋体" w:cs="宋体"/>
                <w:kern w:val="0"/>
                <w:sz w:val="22"/>
              </w:rPr>
            </w:pPr>
            <w:r>
              <w:rPr>
                <w:rFonts w:hint="eastAsia" w:ascii="宋体" w:hAnsi="宋体" w:eastAsia="宋体" w:cs="宋体"/>
                <w:kern w:val="0"/>
                <w:sz w:val="22"/>
              </w:rPr>
              <w:t>化学发光免疫测定法</w:t>
            </w:r>
          </w:p>
        </w:tc>
        <w:tc>
          <w:tcPr>
            <w:tcW w:w="1640" w:type="dxa"/>
            <w:tcBorders>
              <w:top w:val="nil"/>
              <w:left w:val="nil"/>
              <w:bottom w:val="single" w:color="auto" w:sz="4" w:space="0"/>
              <w:right w:val="single" w:color="auto" w:sz="4" w:space="0"/>
            </w:tcBorders>
            <w:shd w:val="clear" w:color="000000" w:fill="FFFFFF"/>
            <w:noWrap/>
            <w:vAlign w:val="bottom"/>
          </w:tcPr>
          <w:p w14:paraId="481E49D2">
            <w:pPr>
              <w:widowControl/>
              <w:jc w:val="center"/>
              <w:rPr>
                <w:rFonts w:ascii="宋体" w:hAnsi="宋体" w:eastAsia="宋体" w:cs="宋体"/>
                <w:kern w:val="0"/>
                <w:sz w:val="22"/>
              </w:rPr>
            </w:pPr>
            <w:r>
              <w:rPr>
                <w:rFonts w:hint="eastAsia" w:ascii="宋体" w:hAnsi="宋体" w:eastAsia="宋体" w:cs="宋体"/>
                <w:kern w:val="0"/>
                <w:sz w:val="22"/>
              </w:rPr>
              <w:t>8.</w:t>
            </w:r>
            <w:r>
              <w:rPr>
                <w:rFonts w:hint="eastAsia" w:ascii="宋体" w:hAnsi="宋体" w:eastAsia="宋体" w:cs="宋体"/>
                <w:kern w:val="0"/>
                <w:sz w:val="22"/>
                <w:lang w:val="en-US" w:eastAsia="zh-CN"/>
              </w:rPr>
              <w:t>43</w:t>
            </w:r>
            <w:r>
              <w:rPr>
                <w:rFonts w:hint="eastAsia" w:ascii="宋体" w:hAnsi="宋体" w:eastAsia="宋体" w:cs="宋体"/>
                <w:kern w:val="0"/>
                <w:sz w:val="22"/>
              </w:rPr>
              <w:t>元/人份</w:t>
            </w:r>
          </w:p>
        </w:tc>
        <w:tc>
          <w:tcPr>
            <w:tcW w:w="2440" w:type="dxa"/>
            <w:tcBorders>
              <w:top w:val="nil"/>
              <w:left w:val="nil"/>
              <w:bottom w:val="single" w:color="auto" w:sz="4" w:space="0"/>
              <w:right w:val="single" w:color="auto" w:sz="4" w:space="0"/>
            </w:tcBorders>
            <w:shd w:val="clear" w:color="000000" w:fill="FFFFFF"/>
            <w:noWrap/>
            <w:vAlign w:val="bottom"/>
          </w:tcPr>
          <w:p w14:paraId="4CBB6467">
            <w:pPr>
              <w:widowControl/>
              <w:jc w:val="left"/>
              <w:rPr>
                <w:rFonts w:ascii="宋体" w:hAnsi="宋体" w:eastAsia="宋体" w:cs="宋体"/>
                <w:kern w:val="0"/>
                <w:sz w:val="22"/>
              </w:rPr>
            </w:pPr>
            <w:r>
              <w:rPr>
                <w:rFonts w:hint="eastAsia" w:ascii="宋体" w:hAnsi="宋体" w:eastAsia="宋体" w:cs="宋体"/>
                <w:kern w:val="0"/>
                <w:sz w:val="22"/>
              </w:rPr>
              <w:t>适用迈瑞CL-2000i</w:t>
            </w:r>
          </w:p>
        </w:tc>
      </w:tr>
      <w:tr w14:paraId="23F6D934">
        <w:tblPrEx>
          <w:tblCellMar>
            <w:top w:w="0" w:type="dxa"/>
            <w:left w:w="108" w:type="dxa"/>
            <w:bottom w:w="0" w:type="dxa"/>
            <w:right w:w="108" w:type="dxa"/>
          </w:tblCellMar>
        </w:tblPrEx>
        <w:trPr>
          <w:trHeight w:val="480" w:hRule="atLeast"/>
        </w:trPr>
        <w:tc>
          <w:tcPr>
            <w:tcW w:w="920" w:type="dxa"/>
            <w:vMerge w:val="continue"/>
            <w:tcBorders>
              <w:left w:val="single" w:color="auto" w:sz="4" w:space="0"/>
              <w:right w:val="single" w:color="auto" w:sz="4" w:space="0"/>
            </w:tcBorders>
            <w:vAlign w:val="center"/>
          </w:tcPr>
          <w:p w14:paraId="788DC6FA">
            <w:pPr>
              <w:widowControl/>
              <w:jc w:val="left"/>
              <w:rPr>
                <w:rFonts w:ascii="宋体" w:hAnsi="宋体" w:eastAsia="宋体" w:cs="宋体"/>
                <w:color w:val="454545"/>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702D3654">
            <w:pPr>
              <w:widowControl/>
              <w:jc w:val="left"/>
              <w:rPr>
                <w:rFonts w:ascii="宋体" w:hAnsi="宋体" w:eastAsia="宋体" w:cs="宋体"/>
                <w:kern w:val="0"/>
                <w:sz w:val="22"/>
              </w:rPr>
            </w:pPr>
            <w:r>
              <w:rPr>
                <w:rFonts w:hint="eastAsia" w:ascii="宋体" w:hAnsi="宋体" w:eastAsia="宋体" w:cs="宋体"/>
                <w:kern w:val="0"/>
                <w:sz w:val="22"/>
              </w:rPr>
              <w:t>维生素B12</w:t>
            </w:r>
          </w:p>
        </w:tc>
        <w:tc>
          <w:tcPr>
            <w:tcW w:w="2220" w:type="dxa"/>
            <w:tcBorders>
              <w:top w:val="nil"/>
              <w:left w:val="nil"/>
              <w:bottom w:val="single" w:color="auto" w:sz="4" w:space="0"/>
              <w:right w:val="single" w:color="auto" w:sz="4" w:space="0"/>
            </w:tcBorders>
            <w:shd w:val="clear" w:color="000000" w:fill="FFFFFF"/>
            <w:noWrap/>
            <w:vAlign w:val="bottom"/>
          </w:tcPr>
          <w:p w14:paraId="7F9837E3">
            <w:pPr>
              <w:widowControl/>
              <w:jc w:val="left"/>
              <w:rPr>
                <w:rFonts w:ascii="宋体" w:hAnsi="宋体" w:eastAsia="宋体" w:cs="宋体"/>
                <w:kern w:val="0"/>
                <w:sz w:val="22"/>
              </w:rPr>
            </w:pPr>
            <w:r>
              <w:rPr>
                <w:rFonts w:hint="eastAsia" w:ascii="宋体" w:hAnsi="宋体" w:eastAsia="宋体" w:cs="宋体"/>
                <w:kern w:val="0"/>
                <w:sz w:val="22"/>
              </w:rPr>
              <w:t>化学发光免疫测定法</w:t>
            </w:r>
          </w:p>
        </w:tc>
        <w:tc>
          <w:tcPr>
            <w:tcW w:w="1640" w:type="dxa"/>
            <w:tcBorders>
              <w:top w:val="nil"/>
              <w:left w:val="nil"/>
              <w:bottom w:val="single" w:color="auto" w:sz="4" w:space="0"/>
              <w:right w:val="single" w:color="auto" w:sz="4" w:space="0"/>
            </w:tcBorders>
            <w:shd w:val="clear" w:color="000000" w:fill="FFFFFF"/>
            <w:noWrap/>
            <w:vAlign w:val="bottom"/>
          </w:tcPr>
          <w:p w14:paraId="6FAF36C5">
            <w:pPr>
              <w:widowControl/>
              <w:jc w:val="center"/>
              <w:rPr>
                <w:rFonts w:ascii="宋体" w:hAnsi="宋体" w:eastAsia="宋体" w:cs="宋体"/>
                <w:kern w:val="0"/>
                <w:sz w:val="22"/>
              </w:rPr>
            </w:pPr>
            <w:r>
              <w:rPr>
                <w:rFonts w:hint="eastAsia" w:ascii="宋体" w:hAnsi="宋体" w:eastAsia="宋体" w:cs="宋体"/>
                <w:kern w:val="0"/>
                <w:sz w:val="22"/>
                <w:lang w:val="en-US" w:eastAsia="zh-CN"/>
              </w:rPr>
              <w:t>11.02</w:t>
            </w:r>
            <w:r>
              <w:rPr>
                <w:rFonts w:hint="eastAsia" w:ascii="宋体" w:hAnsi="宋体" w:eastAsia="宋体" w:cs="宋体"/>
                <w:kern w:val="0"/>
                <w:sz w:val="22"/>
              </w:rPr>
              <w:t>元/人份</w:t>
            </w:r>
          </w:p>
        </w:tc>
        <w:tc>
          <w:tcPr>
            <w:tcW w:w="2440" w:type="dxa"/>
            <w:tcBorders>
              <w:top w:val="nil"/>
              <w:left w:val="nil"/>
              <w:bottom w:val="single" w:color="auto" w:sz="4" w:space="0"/>
              <w:right w:val="single" w:color="auto" w:sz="4" w:space="0"/>
            </w:tcBorders>
            <w:shd w:val="clear" w:color="000000" w:fill="FFFFFF"/>
            <w:noWrap/>
            <w:vAlign w:val="bottom"/>
          </w:tcPr>
          <w:p w14:paraId="52874D48">
            <w:pPr>
              <w:widowControl/>
              <w:jc w:val="left"/>
              <w:rPr>
                <w:rFonts w:ascii="宋体" w:hAnsi="宋体" w:eastAsia="宋体" w:cs="宋体"/>
                <w:kern w:val="0"/>
                <w:sz w:val="22"/>
              </w:rPr>
            </w:pPr>
            <w:r>
              <w:rPr>
                <w:rFonts w:hint="eastAsia" w:ascii="宋体" w:hAnsi="宋体" w:eastAsia="宋体" w:cs="宋体"/>
                <w:kern w:val="0"/>
                <w:sz w:val="22"/>
              </w:rPr>
              <w:t>适用迈瑞CL-2000i</w:t>
            </w:r>
          </w:p>
        </w:tc>
      </w:tr>
      <w:tr w14:paraId="793038A0">
        <w:tblPrEx>
          <w:tblCellMar>
            <w:top w:w="0" w:type="dxa"/>
            <w:left w:w="108" w:type="dxa"/>
            <w:bottom w:w="0" w:type="dxa"/>
            <w:right w:w="108" w:type="dxa"/>
          </w:tblCellMar>
        </w:tblPrEx>
        <w:trPr>
          <w:trHeight w:val="480" w:hRule="atLeast"/>
        </w:trPr>
        <w:tc>
          <w:tcPr>
            <w:tcW w:w="920" w:type="dxa"/>
            <w:vMerge w:val="continue"/>
            <w:tcBorders>
              <w:left w:val="single" w:color="auto" w:sz="4" w:space="0"/>
              <w:right w:val="single" w:color="auto" w:sz="4" w:space="0"/>
            </w:tcBorders>
            <w:vAlign w:val="center"/>
          </w:tcPr>
          <w:p w14:paraId="4AF7CF5F">
            <w:pPr>
              <w:widowControl/>
              <w:jc w:val="left"/>
              <w:rPr>
                <w:rFonts w:ascii="宋体" w:hAnsi="宋体" w:eastAsia="宋体" w:cs="宋体"/>
                <w:color w:val="454545"/>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13C71663">
            <w:pPr>
              <w:widowControl/>
              <w:jc w:val="left"/>
              <w:rPr>
                <w:rFonts w:ascii="宋体" w:hAnsi="宋体" w:eastAsia="宋体" w:cs="宋体"/>
                <w:kern w:val="0"/>
                <w:sz w:val="22"/>
              </w:rPr>
            </w:pPr>
            <w:r>
              <w:rPr>
                <w:rFonts w:hint="eastAsia" w:ascii="宋体" w:hAnsi="宋体" w:eastAsia="宋体" w:cs="宋体"/>
                <w:kern w:val="0"/>
                <w:sz w:val="22"/>
              </w:rPr>
              <w:t>叶酸</w:t>
            </w:r>
          </w:p>
        </w:tc>
        <w:tc>
          <w:tcPr>
            <w:tcW w:w="2220" w:type="dxa"/>
            <w:tcBorders>
              <w:top w:val="nil"/>
              <w:left w:val="nil"/>
              <w:bottom w:val="single" w:color="auto" w:sz="4" w:space="0"/>
              <w:right w:val="single" w:color="auto" w:sz="4" w:space="0"/>
            </w:tcBorders>
            <w:shd w:val="clear" w:color="000000" w:fill="FFFFFF"/>
            <w:noWrap/>
            <w:vAlign w:val="bottom"/>
          </w:tcPr>
          <w:p w14:paraId="35065BDE">
            <w:pPr>
              <w:widowControl/>
              <w:jc w:val="left"/>
              <w:rPr>
                <w:rFonts w:ascii="宋体" w:hAnsi="宋体" w:eastAsia="宋体" w:cs="宋体"/>
                <w:kern w:val="0"/>
                <w:sz w:val="22"/>
              </w:rPr>
            </w:pPr>
            <w:r>
              <w:rPr>
                <w:rFonts w:hint="eastAsia" w:ascii="宋体" w:hAnsi="宋体" w:eastAsia="宋体" w:cs="宋体"/>
                <w:kern w:val="0"/>
                <w:sz w:val="22"/>
              </w:rPr>
              <w:t>化学发光免疫测定法</w:t>
            </w:r>
          </w:p>
        </w:tc>
        <w:tc>
          <w:tcPr>
            <w:tcW w:w="1640" w:type="dxa"/>
            <w:tcBorders>
              <w:top w:val="nil"/>
              <w:left w:val="nil"/>
              <w:bottom w:val="single" w:color="auto" w:sz="4" w:space="0"/>
              <w:right w:val="single" w:color="auto" w:sz="4" w:space="0"/>
            </w:tcBorders>
            <w:shd w:val="clear" w:color="000000" w:fill="FFFFFF"/>
            <w:noWrap/>
            <w:vAlign w:val="bottom"/>
          </w:tcPr>
          <w:p w14:paraId="557718EF">
            <w:pPr>
              <w:widowControl/>
              <w:jc w:val="center"/>
              <w:rPr>
                <w:rFonts w:ascii="宋体" w:hAnsi="宋体" w:eastAsia="宋体" w:cs="宋体"/>
                <w:kern w:val="0"/>
                <w:sz w:val="22"/>
              </w:rPr>
            </w:pPr>
            <w:r>
              <w:rPr>
                <w:rFonts w:hint="eastAsia" w:ascii="宋体" w:hAnsi="宋体" w:eastAsia="宋体" w:cs="宋体"/>
                <w:kern w:val="0"/>
                <w:sz w:val="22"/>
                <w:lang w:val="en-US" w:eastAsia="zh-CN"/>
              </w:rPr>
              <w:t>11.02</w:t>
            </w:r>
            <w:r>
              <w:rPr>
                <w:rFonts w:hint="eastAsia" w:ascii="宋体" w:hAnsi="宋体" w:eastAsia="宋体" w:cs="宋体"/>
                <w:kern w:val="0"/>
                <w:sz w:val="22"/>
              </w:rPr>
              <w:t>元/人份</w:t>
            </w:r>
          </w:p>
        </w:tc>
        <w:tc>
          <w:tcPr>
            <w:tcW w:w="2440" w:type="dxa"/>
            <w:tcBorders>
              <w:top w:val="nil"/>
              <w:left w:val="nil"/>
              <w:bottom w:val="single" w:color="auto" w:sz="4" w:space="0"/>
              <w:right w:val="single" w:color="auto" w:sz="4" w:space="0"/>
            </w:tcBorders>
            <w:shd w:val="clear" w:color="000000" w:fill="FFFFFF"/>
            <w:noWrap/>
            <w:vAlign w:val="bottom"/>
          </w:tcPr>
          <w:p w14:paraId="1A5FE307">
            <w:pPr>
              <w:widowControl/>
              <w:jc w:val="left"/>
              <w:rPr>
                <w:rFonts w:ascii="宋体" w:hAnsi="宋体" w:eastAsia="宋体" w:cs="宋体"/>
                <w:kern w:val="0"/>
                <w:sz w:val="22"/>
              </w:rPr>
            </w:pPr>
            <w:r>
              <w:rPr>
                <w:rFonts w:hint="eastAsia" w:ascii="宋体" w:hAnsi="宋体" w:eastAsia="宋体" w:cs="宋体"/>
                <w:kern w:val="0"/>
                <w:sz w:val="22"/>
              </w:rPr>
              <w:t>适用迈瑞CL-2000i</w:t>
            </w:r>
          </w:p>
        </w:tc>
      </w:tr>
      <w:tr w14:paraId="7F684588">
        <w:tblPrEx>
          <w:tblCellMar>
            <w:top w:w="0" w:type="dxa"/>
            <w:left w:w="108" w:type="dxa"/>
            <w:bottom w:w="0" w:type="dxa"/>
            <w:right w:w="108" w:type="dxa"/>
          </w:tblCellMar>
        </w:tblPrEx>
        <w:trPr>
          <w:trHeight w:val="480" w:hRule="atLeast"/>
        </w:trPr>
        <w:tc>
          <w:tcPr>
            <w:tcW w:w="920" w:type="dxa"/>
            <w:vMerge w:val="continue"/>
            <w:tcBorders>
              <w:left w:val="single" w:color="auto" w:sz="4" w:space="0"/>
              <w:right w:val="single" w:color="auto" w:sz="4" w:space="0"/>
            </w:tcBorders>
            <w:vAlign w:val="center"/>
          </w:tcPr>
          <w:p w14:paraId="2521C5B0">
            <w:pPr>
              <w:widowControl/>
              <w:jc w:val="left"/>
              <w:rPr>
                <w:rFonts w:ascii="宋体" w:hAnsi="宋体" w:eastAsia="宋体" w:cs="宋体"/>
                <w:color w:val="454545"/>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16055999">
            <w:pPr>
              <w:widowControl/>
              <w:jc w:val="left"/>
              <w:rPr>
                <w:rFonts w:ascii="宋体" w:hAnsi="宋体" w:eastAsia="宋体" w:cs="宋体"/>
                <w:kern w:val="0"/>
                <w:sz w:val="22"/>
              </w:rPr>
            </w:pPr>
            <w:r>
              <w:rPr>
                <w:rFonts w:hint="eastAsia" w:ascii="宋体" w:hAnsi="宋体" w:eastAsia="宋体" w:cs="宋体"/>
                <w:kern w:val="0"/>
                <w:sz w:val="22"/>
              </w:rPr>
              <w:t>25羟基维生素D</w:t>
            </w:r>
          </w:p>
        </w:tc>
        <w:tc>
          <w:tcPr>
            <w:tcW w:w="2220" w:type="dxa"/>
            <w:tcBorders>
              <w:top w:val="nil"/>
              <w:left w:val="nil"/>
              <w:bottom w:val="single" w:color="auto" w:sz="4" w:space="0"/>
              <w:right w:val="single" w:color="auto" w:sz="4" w:space="0"/>
            </w:tcBorders>
            <w:shd w:val="clear" w:color="000000" w:fill="FFFFFF"/>
            <w:noWrap/>
            <w:vAlign w:val="bottom"/>
          </w:tcPr>
          <w:p w14:paraId="7CB65C43">
            <w:pPr>
              <w:widowControl/>
              <w:jc w:val="left"/>
              <w:rPr>
                <w:rFonts w:ascii="宋体" w:hAnsi="宋体" w:eastAsia="宋体" w:cs="宋体"/>
                <w:kern w:val="0"/>
                <w:sz w:val="22"/>
              </w:rPr>
            </w:pPr>
            <w:r>
              <w:rPr>
                <w:rFonts w:hint="eastAsia" w:ascii="宋体" w:hAnsi="宋体" w:eastAsia="宋体" w:cs="宋体"/>
                <w:kern w:val="0"/>
                <w:sz w:val="22"/>
              </w:rPr>
              <w:t>化学发光免疫测定法</w:t>
            </w:r>
          </w:p>
        </w:tc>
        <w:tc>
          <w:tcPr>
            <w:tcW w:w="1640" w:type="dxa"/>
            <w:tcBorders>
              <w:top w:val="nil"/>
              <w:left w:val="nil"/>
              <w:bottom w:val="single" w:color="auto" w:sz="4" w:space="0"/>
              <w:right w:val="single" w:color="auto" w:sz="4" w:space="0"/>
            </w:tcBorders>
            <w:shd w:val="clear" w:color="000000" w:fill="FFFFFF"/>
            <w:noWrap/>
            <w:vAlign w:val="bottom"/>
          </w:tcPr>
          <w:p w14:paraId="1B21E0AF">
            <w:pPr>
              <w:widowControl/>
              <w:jc w:val="center"/>
              <w:rPr>
                <w:rFonts w:ascii="宋体" w:hAnsi="宋体" w:eastAsia="宋体" w:cs="宋体"/>
                <w:kern w:val="0"/>
                <w:sz w:val="22"/>
              </w:rPr>
            </w:pPr>
            <w:r>
              <w:rPr>
                <w:rFonts w:hint="eastAsia" w:ascii="宋体" w:hAnsi="宋体" w:eastAsia="宋体" w:cs="宋体"/>
                <w:kern w:val="0"/>
                <w:sz w:val="22"/>
                <w:lang w:val="en-US" w:eastAsia="zh-CN"/>
              </w:rPr>
              <w:t>17.86</w:t>
            </w:r>
            <w:r>
              <w:rPr>
                <w:rFonts w:hint="eastAsia" w:ascii="宋体" w:hAnsi="宋体" w:eastAsia="宋体" w:cs="宋体"/>
                <w:kern w:val="0"/>
                <w:sz w:val="22"/>
              </w:rPr>
              <w:t>元/人份</w:t>
            </w:r>
          </w:p>
        </w:tc>
        <w:tc>
          <w:tcPr>
            <w:tcW w:w="2440" w:type="dxa"/>
            <w:tcBorders>
              <w:top w:val="nil"/>
              <w:left w:val="nil"/>
              <w:bottom w:val="single" w:color="auto" w:sz="4" w:space="0"/>
              <w:right w:val="single" w:color="auto" w:sz="4" w:space="0"/>
            </w:tcBorders>
            <w:shd w:val="clear" w:color="000000" w:fill="FFFFFF"/>
            <w:noWrap/>
            <w:vAlign w:val="bottom"/>
          </w:tcPr>
          <w:p w14:paraId="53B31A4D">
            <w:pPr>
              <w:widowControl/>
              <w:jc w:val="left"/>
              <w:rPr>
                <w:rFonts w:ascii="宋体" w:hAnsi="宋体" w:eastAsia="宋体" w:cs="宋体"/>
                <w:kern w:val="0"/>
                <w:sz w:val="22"/>
              </w:rPr>
            </w:pPr>
            <w:r>
              <w:rPr>
                <w:rFonts w:hint="eastAsia" w:ascii="宋体" w:hAnsi="宋体" w:eastAsia="宋体" w:cs="宋体"/>
                <w:kern w:val="0"/>
                <w:sz w:val="22"/>
              </w:rPr>
              <w:t>适用迈瑞CL-2000i</w:t>
            </w:r>
          </w:p>
        </w:tc>
      </w:tr>
      <w:tr w14:paraId="63EE8677">
        <w:tblPrEx>
          <w:tblCellMar>
            <w:top w:w="0" w:type="dxa"/>
            <w:left w:w="108" w:type="dxa"/>
            <w:bottom w:w="0" w:type="dxa"/>
            <w:right w:w="108" w:type="dxa"/>
          </w:tblCellMar>
        </w:tblPrEx>
        <w:trPr>
          <w:trHeight w:val="480" w:hRule="atLeast"/>
        </w:trPr>
        <w:tc>
          <w:tcPr>
            <w:tcW w:w="920" w:type="dxa"/>
            <w:vMerge w:val="continue"/>
            <w:tcBorders>
              <w:left w:val="single" w:color="auto" w:sz="4" w:space="0"/>
              <w:right w:val="single" w:color="auto" w:sz="4" w:space="0"/>
            </w:tcBorders>
            <w:vAlign w:val="center"/>
          </w:tcPr>
          <w:p w14:paraId="72523233">
            <w:pPr>
              <w:widowControl/>
              <w:jc w:val="left"/>
              <w:rPr>
                <w:rFonts w:ascii="宋体" w:hAnsi="宋体" w:eastAsia="宋体" w:cs="宋体"/>
                <w:color w:val="454545"/>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215FAD8A">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eastAsia="zh-CN"/>
              </w:rPr>
              <w:t>甲状腺功能复合定值质控品高值、低值</w:t>
            </w:r>
          </w:p>
        </w:tc>
        <w:tc>
          <w:tcPr>
            <w:tcW w:w="2220" w:type="dxa"/>
            <w:tcBorders>
              <w:top w:val="nil"/>
              <w:left w:val="nil"/>
              <w:bottom w:val="single" w:color="auto" w:sz="4" w:space="0"/>
              <w:right w:val="single" w:color="auto" w:sz="4" w:space="0"/>
            </w:tcBorders>
            <w:shd w:val="clear" w:color="000000" w:fill="FFFFFF"/>
            <w:noWrap/>
            <w:vAlign w:val="bottom"/>
          </w:tcPr>
          <w:p w14:paraId="2150902C">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rPr>
              <w:t>化学发光免疫测定法</w:t>
            </w:r>
          </w:p>
        </w:tc>
        <w:tc>
          <w:tcPr>
            <w:tcW w:w="1640" w:type="dxa"/>
            <w:tcBorders>
              <w:top w:val="nil"/>
              <w:left w:val="nil"/>
              <w:bottom w:val="single" w:color="auto" w:sz="4" w:space="0"/>
              <w:right w:val="single" w:color="auto" w:sz="4" w:space="0"/>
            </w:tcBorders>
            <w:shd w:val="clear" w:color="000000" w:fill="FFFFFF"/>
            <w:noWrap/>
            <w:vAlign w:val="bottom"/>
          </w:tcPr>
          <w:p w14:paraId="192E5B9D">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75.24</w:t>
            </w:r>
            <w:r>
              <w:rPr>
                <w:rFonts w:hint="eastAsia" w:ascii="宋体" w:hAnsi="宋体" w:eastAsia="宋体" w:cs="宋体"/>
                <w:color w:val="auto"/>
                <w:kern w:val="0"/>
                <w:sz w:val="22"/>
              </w:rPr>
              <w:t>元/ml</w:t>
            </w:r>
          </w:p>
        </w:tc>
        <w:tc>
          <w:tcPr>
            <w:tcW w:w="2440" w:type="dxa"/>
            <w:tcBorders>
              <w:top w:val="nil"/>
              <w:left w:val="nil"/>
              <w:bottom w:val="single" w:color="auto" w:sz="4" w:space="0"/>
              <w:right w:val="single" w:color="auto" w:sz="4" w:space="0"/>
            </w:tcBorders>
            <w:shd w:val="clear" w:color="000000" w:fill="FFFFFF"/>
            <w:noWrap/>
            <w:vAlign w:val="bottom"/>
          </w:tcPr>
          <w:p w14:paraId="09B9B25B">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适用迈瑞CL-2000i</w:t>
            </w:r>
          </w:p>
        </w:tc>
      </w:tr>
      <w:tr w14:paraId="7C446A0A">
        <w:tblPrEx>
          <w:tblCellMar>
            <w:top w:w="0" w:type="dxa"/>
            <w:left w:w="108" w:type="dxa"/>
            <w:bottom w:w="0" w:type="dxa"/>
            <w:right w:w="108" w:type="dxa"/>
          </w:tblCellMar>
        </w:tblPrEx>
        <w:trPr>
          <w:trHeight w:val="480" w:hRule="atLeast"/>
        </w:trPr>
        <w:tc>
          <w:tcPr>
            <w:tcW w:w="920" w:type="dxa"/>
            <w:vMerge w:val="continue"/>
            <w:tcBorders>
              <w:left w:val="single" w:color="auto" w:sz="4" w:space="0"/>
              <w:right w:val="single" w:color="auto" w:sz="4" w:space="0"/>
            </w:tcBorders>
            <w:vAlign w:val="center"/>
          </w:tcPr>
          <w:p w14:paraId="2B9B0393">
            <w:pPr>
              <w:widowControl/>
              <w:jc w:val="left"/>
              <w:rPr>
                <w:rFonts w:ascii="宋体" w:hAnsi="宋体" w:eastAsia="宋体" w:cs="宋体"/>
                <w:color w:val="454545"/>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3A331A04">
            <w:pPr>
              <w:widowControl/>
              <w:tabs>
                <w:tab w:val="left" w:pos="1944"/>
              </w:tabs>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eastAsia="zh-CN"/>
              </w:rPr>
              <w:t>多项免疫复合定值质控品高值、低值</w:t>
            </w:r>
          </w:p>
        </w:tc>
        <w:tc>
          <w:tcPr>
            <w:tcW w:w="2220" w:type="dxa"/>
            <w:tcBorders>
              <w:top w:val="nil"/>
              <w:left w:val="nil"/>
              <w:bottom w:val="single" w:color="auto" w:sz="4" w:space="0"/>
              <w:right w:val="single" w:color="auto" w:sz="4" w:space="0"/>
            </w:tcBorders>
            <w:shd w:val="clear" w:color="000000" w:fill="FFFFFF"/>
            <w:noWrap/>
            <w:vAlign w:val="bottom"/>
          </w:tcPr>
          <w:p w14:paraId="32C8164C">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化学发光免疫测定法</w:t>
            </w:r>
          </w:p>
        </w:tc>
        <w:tc>
          <w:tcPr>
            <w:tcW w:w="1640" w:type="dxa"/>
            <w:tcBorders>
              <w:top w:val="nil"/>
              <w:left w:val="nil"/>
              <w:bottom w:val="single" w:color="auto" w:sz="4" w:space="0"/>
              <w:right w:val="single" w:color="auto" w:sz="4" w:space="0"/>
            </w:tcBorders>
            <w:shd w:val="clear" w:color="000000" w:fill="FFFFFF"/>
            <w:noWrap/>
            <w:vAlign w:val="bottom"/>
          </w:tcPr>
          <w:p w14:paraId="242DBC3A">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53.3</w:t>
            </w:r>
            <w:r>
              <w:rPr>
                <w:rFonts w:hint="eastAsia" w:ascii="宋体" w:hAnsi="宋体" w:eastAsia="宋体" w:cs="宋体"/>
                <w:color w:val="auto"/>
                <w:kern w:val="0"/>
                <w:sz w:val="22"/>
              </w:rPr>
              <w:t>元/ml</w:t>
            </w:r>
          </w:p>
        </w:tc>
        <w:tc>
          <w:tcPr>
            <w:tcW w:w="2440" w:type="dxa"/>
            <w:tcBorders>
              <w:top w:val="nil"/>
              <w:left w:val="nil"/>
              <w:bottom w:val="single" w:color="auto" w:sz="4" w:space="0"/>
              <w:right w:val="single" w:color="auto" w:sz="4" w:space="0"/>
            </w:tcBorders>
            <w:shd w:val="clear" w:color="000000" w:fill="FFFFFF"/>
            <w:noWrap/>
            <w:vAlign w:val="bottom"/>
          </w:tcPr>
          <w:p w14:paraId="46E04435">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适用迈瑞CL-2000i</w:t>
            </w:r>
          </w:p>
        </w:tc>
      </w:tr>
      <w:tr w14:paraId="6FB36CE6">
        <w:tblPrEx>
          <w:tblCellMar>
            <w:top w:w="0" w:type="dxa"/>
            <w:left w:w="108" w:type="dxa"/>
            <w:bottom w:w="0" w:type="dxa"/>
            <w:right w:w="108" w:type="dxa"/>
          </w:tblCellMar>
        </w:tblPrEx>
        <w:trPr>
          <w:trHeight w:val="480" w:hRule="atLeast"/>
        </w:trPr>
        <w:tc>
          <w:tcPr>
            <w:tcW w:w="920" w:type="dxa"/>
            <w:vMerge w:val="continue"/>
            <w:tcBorders>
              <w:left w:val="single" w:color="auto" w:sz="4" w:space="0"/>
              <w:right w:val="single" w:color="auto" w:sz="4" w:space="0"/>
            </w:tcBorders>
            <w:vAlign w:val="center"/>
          </w:tcPr>
          <w:p w14:paraId="5289E7D0">
            <w:pPr>
              <w:widowControl/>
              <w:jc w:val="left"/>
              <w:rPr>
                <w:rFonts w:ascii="宋体" w:hAnsi="宋体" w:eastAsia="宋体" w:cs="宋体"/>
                <w:color w:val="454545"/>
                <w:kern w:val="0"/>
                <w:sz w:val="24"/>
                <w:szCs w:val="24"/>
              </w:rPr>
            </w:pPr>
          </w:p>
        </w:tc>
        <w:tc>
          <w:tcPr>
            <w:tcW w:w="2800" w:type="dxa"/>
            <w:tcBorders>
              <w:top w:val="nil"/>
              <w:left w:val="nil"/>
              <w:bottom w:val="single" w:color="auto" w:sz="4" w:space="0"/>
              <w:right w:val="single" w:color="auto" w:sz="4" w:space="0"/>
            </w:tcBorders>
            <w:shd w:val="clear" w:color="auto" w:fill="auto"/>
            <w:vAlign w:val="bottom"/>
          </w:tcPr>
          <w:p w14:paraId="13526D73">
            <w:pPr>
              <w:widowControl/>
              <w:jc w:val="left"/>
              <w:rPr>
                <w:rFonts w:ascii="宋体" w:hAnsi="宋体" w:eastAsia="宋体" w:cs="宋体"/>
                <w:color w:val="auto"/>
                <w:kern w:val="0"/>
                <w:sz w:val="22"/>
              </w:rPr>
            </w:pPr>
            <w:r>
              <w:rPr>
                <w:rFonts w:hint="eastAsia" w:ascii="宋体" w:hAnsi="宋体" w:eastAsia="宋体" w:cs="宋体"/>
                <w:color w:val="auto"/>
                <w:kern w:val="0"/>
                <w:sz w:val="22"/>
              </w:rPr>
              <w:t>代谢类复合质控品</w:t>
            </w:r>
            <w:r>
              <w:rPr>
                <w:rFonts w:hint="eastAsia" w:ascii="宋体" w:hAnsi="宋体" w:eastAsia="宋体" w:cs="宋体"/>
                <w:color w:val="auto"/>
                <w:kern w:val="0"/>
                <w:sz w:val="22"/>
                <w:lang w:eastAsia="zh-CN"/>
              </w:rPr>
              <w:t>高值、低值</w:t>
            </w:r>
          </w:p>
        </w:tc>
        <w:tc>
          <w:tcPr>
            <w:tcW w:w="2220" w:type="dxa"/>
            <w:tcBorders>
              <w:top w:val="nil"/>
              <w:left w:val="nil"/>
              <w:bottom w:val="single" w:color="auto" w:sz="4" w:space="0"/>
              <w:right w:val="single" w:color="auto" w:sz="4" w:space="0"/>
            </w:tcBorders>
            <w:shd w:val="clear" w:color="auto" w:fill="auto"/>
            <w:noWrap/>
            <w:vAlign w:val="bottom"/>
          </w:tcPr>
          <w:p w14:paraId="323A90CE">
            <w:pPr>
              <w:widowControl/>
              <w:jc w:val="left"/>
              <w:rPr>
                <w:rFonts w:ascii="宋体" w:hAnsi="宋体" w:eastAsia="宋体" w:cs="宋体"/>
                <w:color w:val="auto"/>
                <w:kern w:val="0"/>
                <w:sz w:val="22"/>
              </w:rPr>
            </w:pPr>
            <w:r>
              <w:rPr>
                <w:rFonts w:hint="eastAsia" w:ascii="宋体" w:hAnsi="宋体" w:eastAsia="宋体" w:cs="宋体"/>
                <w:color w:val="auto"/>
                <w:kern w:val="0"/>
                <w:sz w:val="22"/>
              </w:rPr>
              <w:t>化学发光免疫测定法</w:t>
            </w:r>
          </w:p>
        </w:tc>
        <w:tc>
          <w:tcPr>
            <w:tcW w:w="1640" w:type="dxa"/>
            <w:tcBorders>
              <w:top w:val="nil"/>
              <w:left w:val="nil"/>
              <w:bottom w:val="single" w:color="auto" w:sz="4" w:space="0"/>
              <w:right w:val="single" w:color="auto" w:sz="4" w:space="0"/>
            </w:tcBorders>
            <w:shd w:val="clear" w:color="auto" w:fill="auto"/>
            <w:noWrap/>
            <w:vAlign w:val="bottom"/>
          </w:tcPr>
          <w:p w14:paraId="784E678C">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50.16</w:t>
            </w:r>
            <w:r>
              <w:rPr>
                <w:rFonts w:hint="eastAsia" w:ascii="宋体" w:hAnsi="宋体" w:eastAsia="宋体" w:cs="宋体"/>
                <w:color w:val="auto"/>
                <w:kern w:val="0"/>
                <w:sz w:val="22"/>
              </w:rPr>
              <w:t>元/ml</w:t>
            </w:r>
          </w:p>
        </w:tc>
        <w:tc>
          <w:tcPr>
            <w:tcW w:w="2440" w:type="dxa"/>
            <w:tcBorders>
              <w:top w:val="nil"/>
              <w:left w:val="nil"/>
              <w:bottom w:val="single" w:color="auto" w:sz="4" w:space="0"/>
              <w:right w:val="single" w:color="auto" w:sz="4" w:space="0"/>
            </w:tcBorders>
            <w:shd w:val="clear" w:color="auto" w:fill="auto"/>
            <w:noWrap/>
            <w:vAlign w:val="bottom"/>
          </w:tcPr>
          <w:p w14:paraId="54F5A323">
            <w:pPr>
              <w:widowControl/>
              <w:jc w:val="left"/>
              <w:rPr>
                <w:rFonts w:ascii="宋体" w:hAnsi="宋体" w:eastAsia="宋体" w:cs="宋体"/>
                <w:color w:val="auto"/>
                <w:kern w:val="0"/>
                <w:sz w:val="22"/>
              </w:rPr>
            </w:pPr>
            <w:r>
              <w:rPr>
                <w:rFonts w:hint="eastAsia" w:ascii="宋体" w:hAnsi="宋体" w:eastAsia="宋体" w:cs="宋体"/>
                <w:color w:val="auto"/>
                <w:kern w:val="0"/>
                <w:sz w:val="22"/>
              </w:rPr>
              <w:t>适用迈瑞CL-2000i</w:t>
            </w:r>
          </w:p>
        </w:tc>
      </w:tr>
      <w:tr w14:paraId="3D1EF6E3">
        <w:tblPrEx>
          <w:tblCellMar>
            <w:top w:w="0" w:type="dxa"/>
            <w:left w:w="108" w:type="dxa"/>
            <w:bottom w:w="0" w:type="dxa"/>
            <w:right w:w="108" w:type="dxa"/>
          </w:tblCellMar>
        </w:tblPrEx>
        <w:trPr>
          <w:trHeight w:val="570" w:hRule="atLeast"/>
        </w:trPr>
        <w:tc>
          <w:tcPr>
            <w:tcW w:w="920" w:type="dxa"/>
            <w:vMerge w:val="continue"/>
            <w:tcBorders>
              <w:left w:val="single" w:color="auto" w:sz="4" w:space="0"/>
              <w:right w:val="single" w:color="auto" w:sz="4" w:space="0"/>
            </w:tcBorders>
            <w:vAlign w:val="center"/>
          </w:tcPr>
          <w:p w14:paraId="1371D9D4">
            <w:pPr>
              <w:widowControl/>
              <w:jc w:val="left"/>
              <w:rPr>
                <w:rFonts w:ascii="宋体" w:hAnsi="宋体" w:eastAsia="宋体" w:cs="宋体"/>
                <w:color w:val="454545"/>
                <w:kern w:val="0"/>
                <w:sz w:val="24"/>
                <w:szCs w:val="24"/>
              </w:rPr>
            </w:pPr>
          </w:p>
        </w:tc>
        <w:tc>
          <w:tcPr>
            <w:tcW w:w="2800" w:type="dxa"/>
            <w:tcBorders>
              <w:top w:val="nil"/>
              <w:left w:val="nil"/>
              <w:bottom w:val="single" w:color="auto" w:sz="4" w:space="0"/>
              <w:right w:val="single" w:color="auto" w:sz="4" w:space="0"/>
            </w:tcBorders>
            <w:shd w:val="clear" w:color="auto" w:fill="auto"/>
            <w:vAlign w:val="bottom"/>
          </w:tcPr>
          <w:p w14:paraId="501BBFB4">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2"/>
                <w:lang w:eastAsia="zh-CN"/>
              </w:rPr>
              <w:t>性激素六项</w:t>
            </w:r>
            <w:r>
              <w:rPr>
                <w:rFonts w:hint="eastAsia" w:ascii="宋体" w:hAnsi="宋体" w:eastAsia="宋体" w:cs="宋体"/>
                <w:color w:val="auto"/>
                <w:kern w:val="0"/>
                <w:sz w:val="22"/>
              </w:rPr>
              <w:t>质控品高值</w:t>
            </w:r>
            <w:r>
              <w:rPr>
                <w:rFonts w:hint="eastAsia" w:ascii="宋体" w:hAnsi="宋体" w:eastAsia="宋体" w:cs="宋体"/>
                <w:color w:val="auto"/>
                <w:kern w:val="0"/>
                <w:sz w:val="22"/>
                <w:lang w:eastAsia="zh-CN"/>
              </w:rPr>
              <w:t>、低值</w:t>
            </w:r>
          </w:p>
        </w:tc>
        <w:tc>
          <w:tcPr>
            <w:tcW w:w="2220" w:type="dxa"/>
            <w:tcBorders>
              <w:top w:val="nil"/>
              <w:left w:val="nil"/>
              <w:bottom w:val="single" w:color="auto" w:sz="4" w:space="0"/>
              <w:right w:val="single" w:color="auto" w:sz="4" w:space="0"/>
            </w:tcBorders>
            <w:shd w:val="clear" w:color="auto" w:fill="auto"/>
            <w:noWrap/>
            <w:vAlign w:val="bottom"/>
          </w:tcPr>
          <w:p w14:paraId="272F46CE">
            <w:pPr>
              <w:widowControl/>
              <w:jc w:val="left"/>
              <w:rPr>
                <w:rFonts w:ascii="宋体" w:hAnsi="宋体" w:eastAsia="宋体" w:cs="宋体"/>
                <w:color w:val="auto"/>
                <w:kern w:val="0"/>
                <w:sz w:val="22"/>
              </w:rPr>
            </w:pPr>
            <w:r>
              <w:rPr>
                <w:rFonts w:hint="eastAsia" w:ascii="宋体" w:hAnsi="宋体" w:eastAsia="宋体" w:cs="宋体"/>
                <w:color w:val="auto"/>
                <w:kern w:val="0"/>
                <w:sz w:val="22"/>
              </w:rPr>
              <w:t>化学发光免疫测定法</w:t>
            </w:r>
          </w:p>
        </w:tc>
        <w:tc>
          <w:tcPr>
            <w:tcW w:w="1640" w:type="dxa"/>
            <w:tcBorders>
              <w:top w:val="nil"/>
              <w:left w:val="nil"/>
              <w:bottom w:val="single" w:color="auto" w:sz="4" w:space="0"/>
              <w:right w:val="single" w:color="auto" w:sz="4" w:space="0"/>
            </w:tcBorders>
            <w:shd w:val="clear" w:color="auto" w:fill="auto"/>
            <w:noWrap/>
            <w:vAlign w:val="bottom"/>
          </w:tcPr>
          <w:p w14:paraId="57F63649">
            <w:pPr>
              <w:widowControl/>
              <w:jc w:val="center"/>
              <w:rPr>
                <w:rFonts w:ascii="宋体" w:hAnsi="宋体" w:eastAsia="宋体" w:cs="宋体"/>
                <w:color w:val="auto"/>
                <w:kern w:val="0"/>
                <w:sz w:val="22"/>
              </w:rPr>
            </w:pPr>
            <w:r>
              <w:rPr>
                <w:rFonts w:hint="eastAsia" w:ascii="宋体" w:hAnsi="宋体" w:eastAsia="宋体" w:cs="宋体"/>
                <w:color w:val="auto"/>
                <w:kern w:val="0"/>
                <w:sz w:val="22"/>
                <w:lang w:val="en-US" w:eastAsia="zh-CN"/>
              </w:rPr>
              <w:t>62.7</w:t>
            </w:r>
            <w:r>
              <w:rPr>
                <w:rFonts w:hint="eastAsia" w:ascii="宋体" w:hAnsi="宋体" w:eastAsia="宋体" w:cs="宋体"/>
                <w:color w:val="auto"/>
                <w:kern w:val="0"/>
                <w:sz w:val="22"/>
              </w:rPr>
              <w:t>元/ml</w:t>
            </w:r>
          </w:p>
        </w:tc>
        <w:tc>
          <w:tcPr>
            <w:tcW w:w="2440" w:type="dxa"/>
            <w:tcBorders>
              <w:top w:val="nil"/>
              <w:left w:val="nil"/>
              <w:bottom w:val="single" w:color="auto" w:sz="4" w:space="0"/>
              <w:right w:val="single" w:color="auto" w:sz="4" w:space="0"/>
            </w:tcBorders>
            <w:shd w:val="clear" w:color="auto" w:fill="auto"/>
            <w:noWrap/>
            <w:vAlign w:val="bottom"/>
          </w:tcPr>
          <w:p w14:paraId="08C29E50">
            <w:pPr>
              <w:widowControl/>
              <w:jc w:val="left"/>
              <w:rPr>
                <w:rFonts w:ascii="宋体" w:hAnsi="宋体" w:eastAsia="宋体" w:cs="宋体"/>
                <w:color w:val="auto"/>
                <w:kern w:val="0"/>
                <w:sz w:val="22"/>
              </w:rPr>
            </w:pPr>
            <w:r>
              <w:rPr>
                <w:rFonts w:hint="eastAsia" w:ascii="宋体" w:hAnsi="宋体" w:eastAsia="宋体" w:cs="宋体"/>
                <w:color w:val="auto"/>
                <w:kern w:val="0"/>
                <w:sz w:val="22"/>
              </w:rPr>
              <w:t>适用迈瑞CL-2000i</w:t>
            </w:r>
          </w:p>
        </w:tc>
      </w:tr>
      <w:tr w14:paraId="2081D2E8">
        <w:tblPrEx>
          <w:tblCellMar>
            <w:top w:w="0" w:type="dxa"/>
            <w:left w:w="108" w:type="dxa"/>
            <w:bottom w:w="0" w:type="dxa"/>
            <w:right w:w="108" w:type="dxa"/>
          </w:tblCellMar>
        </w:tblPrEx>
        <w:trPr>
          <w:trHeight w:val="480" w:hRule="atLeast"/>
        </w:trPr>
        <w:tc>
          <w:tcPr>
            <w:tcW w:w="920" w:type="dxa"/>
            <w:vMerge w:val="continue"/>
            <w:tcBorders>
              <w:left w:val="single" w:color="auto" w:sz="4" w:space="0"/>
              <w:right w:val="single" w:color="auto" w:sz="4" w:space="0"/>
            </w:tcBorders>
            <w:vAlign w:val="center"/>
          </w:tcPr>
          <w:p w14:paraId="4A5C24CD">
            <w:pPr>
              <w:widowControl/>
              <w:jc w:val="left"/>
              <w:rPr>
                <w:rFonts w:ascii="宋体" w:hAnsi="宋体" w:eastAsia="宋体" w:cs="宋体"/>
                <w:color w:val="454545"/>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723113FA">
            <w:pPr>
              <w:widowControl/>
              <w:jc w:val="left"/>
              <w:rPr>
                <w:rFonts w:ascii="宋体" w:hAnsi="宋体" w:eastAsia="宋体" w:cs="宋体"/>
                <w:kern w:val="0"/>
                <w:sz w:val="22"/>
              </w:rPr>
            </w:pPr>
            <w:r>
              <w:rPr>
                <w:rFonts w:hint="eastAsia" w:ascii="宋体" w:hAnsi="宋体" w:eastAsia="宋体" w:cs="宋体"/>
                <w:kern w:val="0"/>
                <w:sz w:val="22"/>
              </w:rPr>
              <w:t>清洗液</w:t>
            </w:r>
          </w:p>
        </w:tc>
        <w:tc>
          <w:tcPr>
            <w:tcW w:w="2220" w:type="dxa"/>
            <w:tcBorders>
              <w:top w:val="nil"/>
              <w:left w:val="nil"/>
              <w:bottom w:val="single" w:color="auto" w:sz="4" w:space="0"/>
              <w:right w:val="single" w:color="auto" w:sz="4" w:space="0"/>
            </w:tcBorders>
            <w:shd w:val="clear" w:color="000000" w:fill="FFFFFF"/>
            <w:noWrap/>
            <w:vAlign w:val="bottom"/>
          </w:tcPr>
          <w:p w14:paraId="57728863">
            <w:pPr>
              <w:widowControl/>
              <w:jc w:val="left"/>
              <w:rPr>
                <w:rFonts w:ascii="宋体" w:hAnsi="宋体" w:eastAsia="宋体" w:cs="宋体"/>
                <w:kern w:val="0"/>
                <w:sz w:val="22"/>
              </w:rPr>
            </w:pPr>
            <w:r>
              <w:rPr>
                <w:rFonts w:hint="eastAsia" w:ascii="宋体" w:hAnsi="宋体" w:eastAsia="宋体" w:cs="宋体"/>
                <w:kern w:val="0"/>
                <w:sz w:val="22"/>
              </w:rPr>
              <w:t>化学发光免疫测定法</w:t>
            </w:r>
          </w:p>
        </w:tc>
        <w:tc>
          <w:tcPr>
            <w:tcW w:w="1640" w:type="dxa"/>
            <w:tcBorders>
              <w:top w:val="nil"/>
              <w:left w:val="nil"/>
              <w:bottom w:val="single" w:color="auto" w:sz="4" w:space="0"/>
              <w:right w:val="single" w:color="auto" w:sz="4" w:space="0"/>
            </w:tcBorders>
            <w:shd w:val="clear" w:color="000000" w:fill="FFFFFF"/>
            <w:noWrap/>
            <w:vAlign w:val="bottom"/>
          </w:tcPr>
          <w:p w14:paraId="7F679635">
            <w:pPr>
              <w:widowControl/>
              <w:jc w:val="center"/>
              <w:rPr>
                <w:rFonts w:ascii="宋体" w:hAnsi="宋体" w:eastAsia="宋体" w:cs="宋体"/>
                <w:kern w:val="0"/>
                <w:sz w:val="22"/>
              </w:rPr>
            </w:pPr>
            <w:r>
              <w:rPr>
                <w:rFonts w:hint="eastAsia" w:ascii="宋体" w:hAnsi="宋体" w:eastAsia="宋体" w:cs="宋体"/>
                <w:kern w:val="0"/>
                <w:sz w:val="22"/>
                <w:lang w:val="en-US" w:eastAsia="zh-CN"/>
              </w:rPr>
              <w:t>19</w:t>
            </w:r>
            <w:r>
              <w:rPr>
                <w:rFonts w:hint="eastAsia" w:ascii="宋体" w:hAnsi="宋体" w:eastAsia="宋体" w:cs="宋体"/>
                <w:kern w:val="0"/>
                <w:sz w:val="22"/>
              </w:rPr>
              <w:t>元/L</w:t>
            </w:r>
          </w:p>
        </w:tc>
        <w:tc>
          <w:tcPr>
            <w:tcW w:w="2440" w:type="dxa"/>
            <w:tcBorders>
              <w:top w:val="nil"/>
              <w:left w:val="nil"/>
              <w:bottom w:val="single" w:color="auto" w:sz="4" w:space="0"/>
              <w:right w:val="single" w:color="auto" w:sz="4" w:space="0"/>
            </w:tcBorders>
            <w:shd w:val="clear" w:color="000000" w:fill="FFFFFF"/>
            <w:noWrap/>
            <w:vAlign w:val="bottom"/>
          </w:tcPr>
          <w:p w14:paraId="46CC6ECA">
            <w:pPr>
              <w:widowControl/>
              <w:jc w:val="left"/>
              <w:rPr>
                <w:rFonts w:ascii="宋体" w:hAnsi="宋体" w:eastAsia="宋体" w:cs="宋体"/>
                <w:kern w:val="0"/>
                <w:sz w:val="22"/>
              </w:rPr>
            </w:pPr>
            <w:r>
              <w:rPr>
                <w:rFonts w:hint="eastAsia" w:ascii="宋体" w:hAnsi="宋体" w:eastAsia="宋体" w:cs="宋体"/>
                <w:kern w:val="0"/>
                <w:sz w:val="22"/>
              </w:rPr>
              <w:t>适用迈瑞CL-2000i</w:t>
            </w:r>
          </w:p>
        </w:tc>
      </w:tr>
      <w:tr w14:paraId="012D7D4E">
        <w:tblPrEx>
          <w:tblCellMar>
            <w:top w:w="0" w:type="dxa"/>
            <w:left w:w="108" w:type="dxa"/>
            <w:bottom w:w="0" w:type="dxa"/>
            <w:right w:w="108" w:type="dxa"/>
          </w:tblCellMar>
        </w:tblPrEx>
        <w:trPr>
          <w:trHeight w:val="480" w:hRule="atLeast"/>
        </w:trPr>
        <w:tc>
          <w:tcPr>
            <w:tcW w:w="920" w:type="dxa"/>
            <w:vMerge w:val="continue"/>
            <w:tcBorders>
              <w:left w:val="single" w:color="auto" w:sz="4" w:space="0"/>
              <w:right w:val="single" w:color="auto" w:sz="4" w:space="0"/>
            </w:tcBorders>
            <w:vAlign w:val="center"/>
          </w:tcPr>
          <w:p w14:paraId="1F87748F">
            <w:pPr>
              <w:widowControl/>
              <w:jc w:val="left"/>
              <w:rPr>
                <w:rFonts w:ascii="宋体" w:hAnsi="宋体" w:eastAsia="宋体" w:cs="宋体"/>
                <w:color w:val="454545"/>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2889177C">
            <w:pPr>
              <w:widowControl/>
              <w:jc w:val="left"/>
              <w:rPr>
                <w:rFonts w:ascii="宋体" w:hAnsi="宋体" w:eastAsia="宋体" w:cs="宋体"/>
                <w:kern w:val="0"/>
                <w:sz w:val="22"/>
              </w:rPr>
            </w:pPr>
            <w:r>
              <w:rPr>
                <w:rFonts w:hint="eastAsia" w:ascii="宋体" w:hAnsi="宋体" w:eastAsia="宋体" w:cs="宋体"/>
                <w:kern w:val="0"/>
                <w:sz w:val="22"/>
              </w:rPr>
              <w:t>CD80清洗液</w:t>
            </w:r>
          </w:p>
        </w:tc>
        <w:tc>
          <w:tcPr>
            <w:tcW w:w="2220" w:type="dxa"/>
            <w:tcBorders>
              <w:top w:val="nil"/>
              <w:left w:val="nil"/>
              <w:bottom w:val="single" w:color="auto" w:sz="4" w:space="0"/>
              <w:right w:val="single" w:color="auto" w:sz="4" w:space="0"/>
            </w:tcBorders>
            <w:shd w:val="clear" w:color="000000" w:fill="FFFFFF"/>
            <w:noWrap/>
            <w:vAlign w:val="bottom"/>
          </w:tcPr>
          <w:p w14:paraId="573FEE1F">
            <w:pPr>
              <w:widowControl/>
              <w:jc w:val="left"/>
              <w:rPr>
                <w:rFonts w:ascii="宋体" w:hAnsi="宋体" w:eastAsia="宋体" w:cs="宋体"/>
                <w:kern w:val="0"/>
                <w:sz w:val="22"/>
              </w:rPr>
            </w:pPr>
            <w:r>
              <w:rPr>
                <w:rFonts w:hint="eastAsia" w:ascii="宋体" w:hAnsi="宋体" w:eastAsia="宋体" w:cs="宋体"/>
                <w:kern w:val="0"/>
                <w:sz w:val="22"/>
              </w:rPr>
              <w:t>化学发光免疫测定法</w:t>
            </w:r>
          </w:p>
        </w:tc>
        <w:tc>
          <w:tcPr>
            <w:tcW w:w="1640" w:type="dxa"/>
            <w:tcBorders>
              <w:top w:val="nil"/>
              <w:left w:val="nil"/>
              <w:bottom w:val="single" w:color="auto" w:sz="4" w:space="0"/>
              <w:right w:val="single" w:color="auto" w:sz="4" w:space="0"/>
            </w:tcBorders>
            <w:shd w:val="clear" w:color="000000" w:fill="FFFFFF"/>
            <w:noWrap/>
            <w:vAlign w:val="bottom"/>
          </w:tcPr>
          <w:p w14:paraId="5FA13D20">
            <w:pPr>
              <w:widowControl/>
              <w:jc w:val="center"/>
              <w:rPr>
                <w:rFonts w:ascii="宋体" w:hAnsi="宋体" w:eastAsia="宋体" w:cs="宋体"/>
                <w:kern w:val="0"/>
                <w:sz w:val="22"/>
              </w:rPr>
            </w:pPr>
            <w:r>
              <w:rPr>
                <w:rFonts w:hint="eastAsia" w:ascii="宋体" w:hAnsi="宋体" w:eastAsia="宋体" w:cs="宋体"/>
                <w:kern w:val="0"/>
                <w:sz w:val="22"/>
                <w:lang w:val="en-US" w:eastAsia="zh-CN"/>
              </w:rPr>
              <w:t>88.83</w:t>
            </w:r>
            <w:r>
              <w:rPr>
                <w:rFonts w:hint="eastAsia" w:ascii="宋体" w:hAnsi="宋体" w:eastAsia="宋体" w:cs="宋体"/>
                <w:kern w:val="0"/>
                <w:sz w:val="22"/>
              </w:rPr>
              <w:t>元/L</w:t>
            </w:r>
          </w:p>
        </w:tc>
        <w:tc>
          <w:tcPr>
            <w:tcW w:w="2440" w:type="dxa"/>
            <w:tcBorders>
              <w:top w:val="nil"/>
              <w:left w:val="nil"/>
              <w:bottom w:val="single" w:color="auto" w:sz="4" w:space="0"/>
              <w:right w:val="single" w:color="auto" w:sz="4" w:space="0"/>
            </w:tcBorders>
            <w:shd w:val="clear" w:color="000000" w:fill="FFFFFF"/>
            <w:noWrap/>
            <w:vAlign w:val="bottom"/>
          </w:tcPr>
          <w:p w14:paraId="77F778F9">
            <w:pPr>
              <w:widowControl/>
              <w:jc w:val="left"/>
              <w:rPr>
                <w:rFonts w:ascii="宋体" w:hAnsi="宋体" w:eastAsia="宋体" w:cs="宋体"/>
                <w:kern w:val="0"/>
                <w:sz w:val="22"/>
              </w:rPr>
            </w:pPr>
            <w:r>
              <w:rPr>
                <w:rFonts w:hint="eastAsia" w:ascii="宋体" w:hAnsi="宋体" w:eastAsia="宋体" w:cs="宋体"/>
                <w:kern w:val="0"/>
                <w:sz w:val="22"/>
              </w:rPr>
              <w:t>适用迈瑞CL-2000i</w:t>
            </w:r>
          </w:p>
        </w:tc>
      </w:tr>
      <w:tr w14:paraId="725ACA6F">
        <w:tblPrEx>
          <w:tblCellMar>
            <w:top w:w="0" w:type="dxa"/>
            <w:left w:w="108" w:type="dxa"/>
            <w:bottom w:w="0" w:type="dxa"/>
            <w:right w:w="108" w:type="dxa"/>
          </w:tblCellMar>
        </w:tblPrEx>
        <w:trPr>
          <w:trHeight w:val="480" w:hRule="atLeast"/>
        </w:trPr>
        <w:tc>
          <w:tcPr>
            <w:tcW w:w="920" w:type="dxa"/>
            <w:vMerge w:val="continue"/>
            <w:tcBorders>
              <w:left w:val="single" w:color="auto" w:sz="4" w:space="0"/>
              <w:right w:val="single" w:color="auto" w:sz="4" w:space="0"/>
            </w:tcBorders>
            <w:vAlign w:val="center"/>
          </w:tcPr>
          <w:p w14:paraId="058B202C">
            <w:pPr>
              <w:widowControl/>
              <w:jc w:val="left"/>
              <w:rPr>
                <w:rFonts w:ascii="宋体" w:hAnsi="宋体" w:eastAsia="宋体" w:cs="宋体"/>
                <w:color w:val="454545"/>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3677918F">
            <w:pPr>
              <w:widowControl/>
              <w:jc w:val="left"/>
              <w:rPr>
                <w:rFonts w:ascii="宋体" w:hAnsi="宋体" w:eastAsia="宋体" w:cs="宋体"/>
                <w:kern w:val="0"/>
                <w:sz w:val="22"/>
              </w:rPr>
            </w:pPr>
            <w:r>
              <w:rPr>
                <w:rFonts w:hint="eastAsia" w:ascii="宋体" w:hAnsi="宋体" w:eastAsia="宋体" w:cs="宋体"/>
                <w:kern w:val="0"/>
                <w:sz w:val="22"/>
              </w:rPr>
              <w:t>底物液</w:t>
            </w:r>
          </w:p>
        </w:tc>
        <w:tc>
          <w:tcPr>
            <w:tcW w:w="2220" w:type="dxa"/>
            <w:tcBorders>
              <w:top w:val="nil"/>
              <w:left w:val="nil"/>
              <w:bottom w:val="single" w:color="auto" w:sz="4" w:space="0"/>
              <w:right w:val="single" w:color="auto" w:sz="4" w:space="0"/>
            </w:tcBorders>
            <w:shd w:val="clear" w:color="000000" w:fill="FFFFFF"/>
            <w:noWrap/>
            <w:vAlign w:val="bottom"/>
          </w:tcPr>
          <w:p w14:paraId="7E505865">
            <w:pPr>
              <w:widowControl/>
              <w:jc w:val="left"/>
              <w:rPr>
                <w:rFonts w:ascii="宋体" w:hAnsi="宋体" w:eastAsia="宋体" w:cs="宋体"/>
                <w:kern w:val="0"/>
                <w:sz w:val="22"/>
              </w:rPr>
            </w:pPr>
            <w:r>
              <w:rPr>
                <w:rFonts w:hint="eastAsia" w:ascii="宋体" w:hAnsi="宋体" w:eastAsia="宋体" w:cs="宋体"/>
                <w:kern w:val="0"/>
                <w:sz w:val="22"/>
              </w:rPr>
              <w:t>化学发光免疫测定法</w:t>
            </w:r>
          </w:p>
        </w:tc>
        <w:tc>
          <w:tcPr>
            <w:tcW w:w="1640" w:type="dxa"/>
            <w:tcBorders>
              <w:top w:val="nil"/>
              <w:left w:val="nil"/>
              <w:bottom w:val="single" w:color="auto" w:sz="4" w:space="0"/>
              <w:right w:val="single" w:color="auto" w:sz="4" w:space="0"/>
            </w:tcBorders>
            <w:shd w:val="clear" w:color="000000" w:fill="FFFFFF"/>
            <w:noWrap/>
            <w:vAlign w:val="bottom"/>
          </w:tcPr>
          <w:p w14:paraId="46AF95ED">
            <w:pPr>
              <w:widowControl/>
              <w:jc w:val="center"/>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kern w:val="0"/>
                <w:sz w:val="22"/>
                <w:lang w:val="en-US" w:eastAsia="zh-CN"/>
              </w:rPr>
              <w:t>9</w:t>
            </w:r>
            <w:r>
              <w:rPr>
                <w:rFonts w:hint="eastAsia" w:ascii="宋体" w:hAnsi="宋体" w:eastAsia="宋体" w:cs="宋体"/>
                <w:kern w:val="0"/>
                <w:sz w:val="22"/>
              </w:rPr>
              <w:t>元/ml</w:t>
            </w:r>
          </w:p>
        </w:tc>
        <w:tc>
          <w:tcPr>
            <w:tcW w:w="2440" w:type="dxa"/>
            <w:tcBorders>
              <w:top w:val="nil"/>
              <w:left w:val="nil"/>
              <w:bottom w:val="single" w:color="auto" w:sz="4" w:space="0"/>
              <w:right w:val="single" w:color="auto" w:sz="4" w:space="0"/>
            </w:tcBorders>
            <w:shd w:val="clear" w:color="000000" w:fill="FFFFFF"/>
            <w:noWrap/>
            <w:vAlign w:val="bottom"/>
          </w:tcPr>
          <w:p w14:paraId="1808D800">
            <w:pPr>
              <w:widowControl/>
              <w:jc w:val="left"/>
              <w:rPr>
                <w:rFonts w:ascii="宋体" w:hAnsi="宋体" w:eastAsia="宋体" w:cs="宋体"/>
                <w:kern w:val="0"/>
                <w:sz w:val="22"/>
              </w:rPr>
            </w:pPr>
            <w:r>
              <w:rPr>
                <w:rFonts w:hint="eastAsia" w:ascii="宋体" w:hAnsi="宋体" w:eastAsia="宋体" w:cs="宋体"/>
                <w:kern w:val="0"/>
                <w:sz w:val="22"/>
              </w:rPr>
              <w:t>适用迈瑞CL-2000i</w:t>
            </w:r>
          </w:p>
        </w:tc>
      </w:tr>
      <w:tr w14:paraId="7D13B716">
        <w:tblPrEx>
          <w:tblCellMar>
            <w:top w:w="0" w:type="dxa"/>
            <w:left w:w="108" w:type="dxa"/>
            <w:bottom w:w="0" w:type="dxa"/>
            <w:right w:w="108" w:type="dxa"/>
          </w:tblCellMar>
        </w:tblPrEx>
        <w:trPr>
          <w:trHeight w:val="480" w:hRule="atLeast"/>
        </w:trPr>
        <w:tc>
          <w:tcPr>
            <w:tcW w:w="920" w:type="dxa"/>
            <w:vMerge w:val="continue"/>
            <w:tcBorders>
              <w:left w:val="single" w:color="auto" w:sz="4" w:space="0"/>
              <w:right w:val="single" w:color="auto" w:sz="4" w:space="0"/>
            </w:tcBorders>
            <w:vAlign w:val="center"/>
          </w:tcPr>
          <w:p w14:paraId="72ADBE3C">
            <w:pPr>
              <w:widowControl/>
              <w:jc w:val="left"/>
              <w:rPr>
                <w:rFonts w:ascii="宋体" w:hAnsi="宋体" w:eastAsia="宋体" w:cs="宋体"/>
                <w:color w:val="454545"/>
                <w:kern w:val="0"/>
                <w:sz w:val="24"/>
                <w:szCs w:val="24"/>
              </w:rPr>
            </w:pPr>
          </w:p>
        </w:tc>
        <w:tc>
          <w:tcPr>
            <w:tcW w:w="2800" w:type="dxa"/>
            <w:tcBorders>
              <w:top w:val="single" w:color="auto" w:sz="4" w:space="0"/>
              <w:left w:val="single" w:color="auto" w:sz="4" w:space="0"/>
              <w:bottom w:val="single" w:color="auto" w:sz="4" w:space="0"/>
              <w:right w:val="single" w:color="auto" w:sz="4" w:space="0"/>
            </w:tcBorders>
            <w:shd w:val="clear" w:color="000000" w:fill="FFFFFF"/>
            <w:vAlign w:val="bottom"/>
          </w:tcPr>
          <w:p w14:paraId="53112AE3">
            <w:pPr>
              <w:widowControl/>
              <w:jc w:val="left"/>
              <w:rPr>
                <w:rFonts w:ascii="宋体" w:hAnsi="宋体" w:eastAsia="宋体" w:cs="宋体"/>
                <w:kern w:val="0"/>
                <w:sz w:val="22"/>
              </w:rPr>
            </w:pPr>
            <w:r>
              <w:rPr>
                <w:rFonts w:hint="eastAsia" w:ascii="宋体" w:hAnsi="宋体" w:eastAsia="宋体" w:cs="宋体"/>
                <w:kern w:val="0"/>
                <w:sz w:val="22"/>
              </w:rPr>
              <w:t>反应杯</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10947A14">
            <w:pPr>
              <w:widowControl/>
              <w:jc w:val="left"/>
              <w:rPr>
                <w:rFonts w:ascii="宋体" w:hAnsi="宋体" w:eastAsia="宋体" w:cs="宋体"/>
                <w:kern w:val="0"/>
                <w:sz w:val="22"/>
              </w:rPr>
            </w:pPr>
            <w:r>
              <w:rPr>
                <w:rFonts w:hint="eastAsia" w:ascii="宋体" w:hAnsi="宋体" w:eastAsia="宋体" w:cs="宋体"/>
                <w:kern w:val="0"/>
                <w:sz w:val="22"/>
              </w:rPr>
              <w:t>化学发光免疫测定法</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44427CF5">
            <w:pPr>
              <w:widowControl/>
              <w:jc w:val="center"/>
              <w:rPr>
                <w:rFonts w:ascii="宋体" w:hAnsi="宋体" w:eastAsia="宋体" w:cs="宋体"/>
                <w:kern w:val="0"/>
                <w:sz w:val="22"/>
              </w:rPr>
            </w:pPr>
            <w:r>
              <w:rPr>
                <w:rFonts w:hint="eastAsia" w:ascii="宋体" w:hAnsi="宋体" w:eastAsia="宋体" w:cs="宋体"/>
                <w:kern w:val="0"/>
                <w:sz w:val="22"/>
              </w:rPr>
              <w:t>0.</w:t>
            </w:r>
            <w:r>
              <w:rPr>
                <w:rFonts w:hint="eastAsia" w:ascii="宋体" w:hAnsi="宋体" w:eastAsia="宋体" w:cs="宋体"/>
                <w:kern w:val="0"/>
                <w:sz w:val="22"/>
                <w:lang w:val="en-US" w:eastAsia="zh-CN"/>
              </w:rPr>
              <w:t>3</w:t>
            </w:r>
            <w:r>
              <w:rPr>
                <w:rFonts w:hint="eastAsia" w:ascii="宋体" w:hAnsi="宋体" w:eastAsia="宋体" w:cs="宋体"/>
                <w:kern w:val="0"/>
                <w:sz w:val="22"/>
              </w:rPr>
              <w:t>8元/个</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16F71EB9">
            <w:pPr>
              <w:widowControl/>
              <w:jc w:val="left"/>
              <w:rPr>
                <w:rFonts w:ascii="宋体" w:hAnsi="宋体" w:eastAsia="宋体" w:cs="宋体"/>
                <w:kern w:val="0"/>
                <w:sz w:val="22"/>
              </w:rPr>
            </w:pPr>
            <w:r>
              <w:rPr>
                <w:rFonts w:hint="eastAsia" w:ascii="宋体" w:hAnsi="宋体" w:eastAsia="宋体" w:cs="宋体"/>
                <w:kern w:val="0"/>
                <w:sz w:val="22"/>
              </w:rPr>
              <w:t>适用迈瑞CL-2000i</w:t>
            </w:r>
          </w:p>
        </w:tc>
      </w:tr>
      <w:tr w14:paraId="6A3CEBC0">
        <w:tblPrEx>
          <w:tblCellMar>
            <w:top w:w="0" w:type="dxa"/>
            <w:left w:w="108" w:type="dxa"/>
            <w:bottom w:w="0" w:type="dxa"/>
            <w:right w:w="108" w:type="dxa"/>
          </w:tblCellMar>
        </w:tblPrEx>
        <w:trPr>
          <w:trHeight w:val="480" w:hRule="atLeast"/>
        </w:trPr>
        <w:tc>
          <w:tcPr>
            <w:tcW w:w="920" w:type="dxa"/>
            <w:vMerge w:val="continue"/>
            <w:tcBorders>
              <w:left w:val="single" w:color="auto" w:sz="4" w:space="0"/>
              <w:bottom w:val="single" w:color="000000" w:sz="4" w:space="0"/>
              <w:right w:val="single" w:color="auto" w:sz="4" w:space="0"/>
            </w:tcBorders>
            <w:vAlign w:val="center"/>
          </w:tcPr>
          <w:p w14:paraId="0EB8FD5C">
            <w:pPr>
              <w:widowControl/>
              <w:jc w:val="left"/>
              <w:rPr>
                <w:rFonts w:ascii="宋体" w:hAnsi="宋体" w:eastAsia="宋体" w:cs="宋体"/>
                <w:color w:val="454545"/>
                <w:kern w:val="0"/>
                <w:sz w:val="24"/>
                <w:szCs w:val="24"/>
              </w:rPr>
            </w:pPr>
          </w:p>
        </w:tc>
        <w:tc>
          <w:tcPr>
            <w:tcW w:w="2800" w:type="dxa"/>
            <w:tcBorders>
              <w:top w:val="single" w:color="auto" w:sz="4" w:space="0"/>
              <w:left w:val="single" w:color="auto" w:sz="4" w:space="0"/>
              <w:bottom w:val="single" w:color="auto" w:sz="4" w:space="0"/>
              <w:right w:val="single" w:color="auto" w:sz="4" w:space="0"/>
            </w:tcBorders>
            <w:shd w:val="clear" w:color="000000" w:fill="FFFFFF"/>
            <w:vAlign w:val="bottom"/>
          </w:tcPr>
          <w:p w14:paraId="61E26BBF">
            <w:pPr>
              <w:widowControl/>
              <w:jc w:val="left"/>
              <w:rPr>
                <w:rFonts w:hint="eastAsia" w:ascii="宋体" w:hAnsi="宋体" w:eastAsia="宋体" w:cs="宋体"/>
                <w:color w:val="auto"/>
                <w:kern w:val="0"/>
                <w:sz w:val="22"/>
                <w:lang w:eastAsia="zh-CN"/>
              </w:rPr>
            </w:pPr>
            <w:r>
              <w:rPr>
                <w:rFonts w:hint="eastAsia" w:ascii="宋体" w:hAnsi="宋体" w:eastAsia="宋体" w:cs="宋体"/>
                <w:color w:val="auto"/>
                <w:kern w:val="0"/>
                <w:sz w:val="20"/>
                <w:szCs w:val="20"/>
              </w:rPr>
              <w:t>肿瘤标志物复合定值质控品</w:t>
            </w:r>
            <w:r>
              <w:rPr>
                <w:rFonts w:hint="eastAsia" w:ascii="宋体" w:hAnsi="宋体" w:eastAsia="宋体" w:cs="宋体"/>
                <w:color w:val="auto"/>
                <w:kern w:val="0"/>
                <w:sz w:val="20"/>
                <w:szCs w:val="20"/>
                <w:lang w:eastAsia="zh-CN"/>
              </w:rPr>
              <w:t>高值、</w:t>
            </w:r>
            <w:r>
              <w:rPr>
                <w:rFonts w:hint="eastAsia" w:ascii="宋体" w:hAnsi="宋体" w:eastAsia="宋体" w:cs="宋体"/>
                <w:color w:val="auto"/>
                <w:kern w:val="0"/>
                <w:sz w:val="20"/>
                <w:szCs w:val="20"/>
              </w:rPr>
              <w:t>低值</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4A49F263">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化学发光免疫测定法</w:t>
            </w:r>
          </w:p>
        </w:tc>
        <w:tc>
          <w:tcPr>
            <w:tcW w:w="1640"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460B4114">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79.2</w:t>
            </w:r>
            <w:r>
              <w:rPr>
                <w:rFonts w:hint="eastAsia" w:ascii="宋体" w:hAnsi="宋体" w:eastAsia="宋体" w:cs="宋体"/>
                <w:color w:val="auto"/>
                <w:kern w:val="0"/>
                <w:sz w:val="22"/>
              </w:rPr>
              <w:t>元/ml</w:t>
            </w:r>
          </w:p>
        </w:tc>
        <w:tc>
          <w:tcPr>
            <w:tcW w:w="2440" w:type="dxa"/>
            <w:tcBorders>
              <w:top w:val="single" w:color="auto" w:sz="4" w:space="0"/>
              <w:left w:val="single" w:color="auto" w:sz="4" w:space="0"/>
              <w:bottom w:val="single" w:color="auto" w:sz="4" w:space="0"/>
              <w:right w:val="single" w:color="auto" w:sz="4" w:space="0"/>
            </w:tcBorders>
            <w:shd w:val="clear" w:color="000000" w:fill="FFFFFF"/>
            <w:noWrap/>
            <w:vAlign w:val="bottom"/>
          </w:tcPr>
          <w:p w14:paraId="12F9A764">
            <w:pPr>
              <w:widowControl/>
              <w:jc w:val="left"/>
              <w:rPr>
                <w:rFonts w:hint="eastAsia" w:ascii="宋体" w:hAnsi="宋体" w:eastAsia="宋体" w:cs="宋体"/>
                <w:color w:val="auto"/>
                <w:kern w:val="0"/>
                <w:sz w:val="22"/>
              </w:rPr>
            </w:pPr>
            <w:r>
              <w:rPr>
                <w:rFonts w:hint="eastAsia" w:ascii="宋体" w:hAnsi="宋体" w:eastAsia="宋体" w:cs="宋体"/>
                <w:color w:val="auto"/>
                <w:kern w:val="0"/>
                <w:sz w:val="22"/>
              </w:rPr>
              <w:t>适用迈瑞CL-2000i</w:t>
            </w:r>
          </w:p>
        </w:tc>
      </w:tr>
      <w:tr w14:paraId="387E9147">
        <w:tblPrEx>
          <w:tblCellMar>
            <w:top w:w="0" w:type="dxa"/>
            <w:left w:w="108" w:type="dxa"/>
            <w:bottom w:w="0" w:type="dxa"/>
            <w:right w:w="108" w:type="dxa"/>
          </w:tblCellMar>
        </w:tblPrEx>
        <w:trPr>
          <w:trHeight w:val="480" w:hRule="atLeast"/>
        </w:trPr>
        <w:tc>
          <w:tcPr>
            <w:tcW w:w="920" w:type="dxa"/>
            <w:vMerge w:val="restart"/>
            <w:tcBorders>
              <w:top w:val="nil"/>
              <w:left w:val="single" w:color="auto" w:sz="4" w:space="0"/>
              <w:bottom w:val="single" w:color="000000" w:sz="4" w:space="0"/>
              <w:right w:val="single" w:color="auto" w:sz="4" w:space="0"/>
            </w:tcBorders>
            <w:shd w:val="clear" w:color="000000" w:fill="FFFFFF"/>
            <w:noWrap/>
            <w:vAlign w:val="center"/>
          </w:tcPr>
          <w:p w14:paraId="02A305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第二包</w:t>
            </w:r>
          </w:p>
        </w:tc>
        <w:tc>
          <w:tcPr>
            <w:tcW w:w="2800" w:type="dxa"/>
            <w:tcBorders>
              <w:top w:val="single" w:color="auto" w:sz="4" w:space="0"/>
              <w:left w:val="nil"/>
              <w:bottom w:val="single" w:color="auto" w:sz="4" w:space="0"/>
              <w:right w:val="single" w:color="auto" w:sz="4" w:space="0"/>
            </w:tcBorders>
            <w:shd w:val="clear" w:color="000000" w:fill="FFFFFF"/>
            <w:vAlign w:val="bottom"/>
          </w:tcPr>
          <w:p w14:paraId="17E97D96">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eastAsia="zh-CN"/>
              </w:rPr>
              <w:t>抗甲状腺球蛋白抗体</w:t>
            </w:r>
            <w:r>
              <w:rPr>
                <w:rFonts w:hint="eastAsia" w:ascii="宋体" w:hAnsi="宋体" w:eastAsia="宋体" w:cs="宋体"/>
                <w:kern w:val="0"/>
                <w:sz w:val="22"/>
                <w:lang w:val="en-US" w:eastAsia="zh-CN"/>
              </w:rPr>
              <w:t>Anti-Tg</w:t>
            </w:r>
          </w:p>
        </w:tc>
        <w:tc>
          <w:tcPr>
            <w:tcW w:w="2220" w:type="dxa"/>
            <w:tcBorders>
              <w:top w:val="single" w:color="auto" w:sz="4" w:space="0"/>
              <w:left w:val="nil"/>
              <w:bottom w:val="single" w:color="auto" w:sz="4" w:space="0"/>
              <w:right w:val="single" w:color="auto" w:sz="4" w:space="0"/>
            </w:tcBorders>
            <w:shd w:val="clear" w:color="000000" w:fill="FFFFFF"/>
            <w:noWrap/>
            <w:vAlign w:val="bottom"/>
          </w:tcPr>
          <w:p w14:paraId="74CBDF21">
            <w:pPr>
              <w:widowControl/>
              <w:jc w:val="center"/>
              <w:rPr>
                <w:rFonts w:ascii="宋体" w:hAnsi="宋体" w:eastAsia="宋体" w:cs="宋体"/>
                <w:kern w:val="0"/>
                <w:sz w:val="22"/>
              </w:rPr>
            </w:pPr>
            <w:r>
              <w:rPr>
                <w:rFonts w:hint="eastAsia" w:ascii="宋体" w:hAnsi="宋体" w:eastAsia="宋体" w:cs="宋体"/>
                <w:kern w:val="0"/>
                <w:sz w:val="22"/>
              </w:rPr>
              <w:t>电化学发光法</w:t>
            </w:r>
          </w:p>
        </w:tc>
        <w:tc>
          <w:tcPr>
            <w:tcW w:w="1640" w:type="dxa"/>
            <w:tcBorders>
              <w:top w:val="single" w:color="auto" w:sz="4" w:space="0"/>
              <w:left w:val="nil"/>
              <w:bottom w:val="single" w:color="auto" w:sz="4" w:space="0"/>
              <w:right w:val="single" w:color="auto" w:sz="4" w:space="0"/>
            </w:tcBorders>
            <w:shd w:val="clear" w:color="000000" w:fill="FFFFFF"/>
            <w:noWrap/>
            <w:vAlign w:val="bottom"/>
          </w:tcPr>
          <w:p w14:paraId="030F31FC">
            <w:pPr>
              <w:widowControl/>
              <w:jc w:val="center"/>
              <w:rPr>
                <w:rFonts w:ascii="宋体" w:hAnsi="宋体" w:eastAsia="宋体" w:cs="宋体"/>
                <w:kern w:val="0"/>
                <w:sz w:val="22"/>
              </w:rPr>
            </w:pPr>
            <w:r>
              <w:rPr>
                <w:rFonts w:hint="eastAsia" w:ascii="宋体" w:hAnsi="宋体" w:eastAsia="宋体" w:cs="宋体"/>
                <w:kern w:val="0"/>
                <w:sz w:val="22"/>
                <w:lang w:val="en-US" w:eastAsia="zh-CN"/>
              </w:rPr>
              <w:t>20.76</w:t>
            </w:r>
            <w:r>
              <w:rPr>
                <w:rFonts w:hint="eastAsia" w:ascii="宋体" w:hAnsi="宋体" w:eastAsia="宋体" w:cs="宋体"/>
                <w:kern w:val="0"/>
                <w:sz w:val="22"/>
              </w:rPr>
              <w:t>元/人份</w:t>
            </w:r>
          </w:p>
        </w:tc>
        <w:tc>
          <w:tcPr>
            <w:tcW w:w="2440" w:type="dxa"/>
            <w:tcBorders>
              <w:top w:val="single" w:color="auto" w:sz="4" w:space="0"/>
              <w:left w:val="nil"/>
              <w:bottom w:val="single" w:color="auto" w:sz="4" w:space="0"/>
              <w:right w:val="single" w:color="auto" w:sz="4" w:space="0"/>
            </w:tcBorders>
            <w:shd w:val="clear" w:color="000000" w:fill="FFFFFF"/>
            <w:noWrap/>
            <w:vAlign w:val="bottom"/>
          </w:tcPr>
          <w:p w14:paraId="00155B1C">
            <w:pPr>
              <w:widowControl/>
              <w:jc w:val="center"/>
              <w:rPr>
                <w:rFonts w:ascii="宋体" w:hAnsi="宋体" w:eastAsia="宋体" w:cs="宋体"/>
                <w:kern w:val="0"/>
                <w:sz w:val="22"/>
              </w:rPr>
            </w:pPr>
            <w:r>
              <w:rPr>
                <w:rFonts w:hint="eastAsia" w:ascii="宋体" w:hAnsi="宋体" w:eastAsia="宋体" w:cs="宋体"/>
                <w:kern w:val="0"/>
                <w:sz w:val="22"/>
              </w:rPr>
              <w:t>适用于罗氏E601设备</w:t>
            </w:r>
          </w:p>
        </w:tc>
      </w:tr>
      <w:tr w14:paraId="7500AB52">
        <w:tblPrEx>
          <w:tblCellMar>
            <w:top w:w="0" w:type="dxa"/>
            <w:left w:w="108" w:type="dxa"/>
            <w:bottom w:w="0" w:type="dxa"/>
            <w:right w:w="108" w:type="dxa"/>
          </w:tblCellMar>
        </w:tblPrEx>
        <w:trPr>
          <w:trHeight w:val="480" w:hRule="atLeast"/>
        </w:trPr>
        <w:tc>
          <w:tcPr>
            <w:tcW w:w="920" w:type="dxa"/>
            <w:vMerge w:val="continue"/>
            <w:tcBorders>
              <w:top w:val="nil"/>
              <w:left w:val="single" w:color="auto" w:sz="4" w:space="0"/>
              <w:bottom w:val="single" w:color="000000" w:sz="4" w:space="0"/>
              <w:right w:val="single" w:color="auto" w:sz="4" w:space="0"/>
            </w:tcBorders>
            <w:vAlign w:val="center"/>
          </w:tcPr>
          <w:p w14:paraId="223CCA65">
            <w:pPr>
              <w:widowControl/>
              <w:jc w:val="left"/>
              <w:rPr>
                <w:rFonts w:ascii="宋体" w:hAnsi="宋体" w:eastAsia="宋体" w:cs="宋体"/>
                <w:color w:val="000000"/>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373D13B5">
            <w:pPr>
              <w:widowControl/>
              <w:jc w:val="left"/>
              <w:rPr>
                <w:rFonts w:hint="default" w:ascii="宋体" w:hAnsi="宋体" w:eastAsia="宋体" w:cs="宋体"/>
                <w:kern w:val="0"/>
                <w:sz w:val="22"/>
                <w:lang w:val="en-US"/>
              </w:rPr>
            </w:pPr>
            <w:r>
              <w:rPr>
                <w:rFonts w:hint="eastAsia" w:ascii="宋体" w:hAnsi="宋体" w:eastAsia="宋体" w:cs="宋体"/>
                <w:kern w:val="0"/>
                <w:sz w:val="22"/>
                <w:lang w:eastAsia="zh-CN"/>
              </w:rPr>
              <w:t>抗甲状腺过氧化物酶抗体</w:t>
            </w:r>
            <w:r>
              <w:rPr>
                <w:rFonts w:hint="eastAsia" w:ascii="宋体" w:hAnsi="宋体" w:eastAsia="宋体" w:cs="宋体"/>
                <w:kern w:val="0"/>
                <w:sz w:val="22"/>
                <w:lang w:val="en-US" w:eastAsia="zh-CN"/>
              </w:rPr>
              <w:t>Anti-TPO</w:t>
            </w:r>
          </w:p>
        </w:tc>
        <w:tc>
          <w:tcPr>
            <w:tcW w:w="2220" w:type="dxa"/>
            <w:tcBorders>
              <w:top w:val="nil"/>
              <w:left w:val="nil"/>
              <w:bottom w:val="single" w:color="auto" w:sz="4" w:space="0"/>
              <w:right w:val="single" w:color="auto" w:sz="4" w:space="0"/>
            </w:tcBorders>
            <w:shd w:val="clear" w:color="000000" w:fill="FFFFFF"/>
            <w:noWrap/>
            <w:vAlign w:val="bottom"/>
          </w:tcPr>
          <w:p w14:paraId="6D9E5406">
            <w:pPr>
              <w:widowControl/>
              <w:jc w:val="center"/>
              <w:rPr>
                <w:rFonts w:ascii="宋体" w:hAnsi="宋体" w:eastAsia="宋体" w:cs="宋体"/>
                <w:kern w:val="0"/>
                <w:sz w:val="22"/>
              </w:rPr>
            </w:pPr>
            <w:r>
              <w:rPr>
                <w:rFonts w:hint="eastAsia" w:ascii="宋体" w:hAnsi="宋体" w:eastAsia="宋体" w:cs="宋体"/>
                <w:kern w:val="0"/>
                <w:sz w:val="22"/>
              </w:rPr>
              <w:t>电化学发光法</w:t>
            </w:r>
          </w:p>
        </w:tc>
        <w:tc>
          <w:tcPr>
            <w:tcW w:w="1640" w:type="dxa"/>
            <w:tcBorders>
              <w:top w:val="nil"/>
              <w:left w:val="nil"/>
              <w:bottom w:val="single" w:color="auto" w:sz="4" w:space="0"/>
              <w:right w:val="single" w:color="auto" w:sz="4" w:space="0"/>
            </w:tcBorders>
            <w:shd w:val="clear" w:color="000000" w:fill="FFFFFF"/>
            <w:noWrap/>
            <w:vAlign w:val="bottom"/>
          </w:tcPr>
          <w:p w14:paraId="37810D15">
            <w:pPr>
              <w:widowControl/>
              <w:jc w:val="center"/>
              <w:rPr>
                <w:rFonts w:ascii="宋体" w:hAnsi="宋体" w:eastAsia="宋体" w:cs="宋体"/>
                <w:kern w:val="0"/>
                <w:sz w:val="22"/>
              </w:rPr>
            </w:pPr>
            <w:r>
              <w:rPr>
                <w:rFonts w:hint="eastAsia" w:ascii="宋体" w:hAnsi="宋体" w:eastAsia="宋体" w:cs="宋体"/>
                <w:kern w:val="0"/>
                <w:sz w:val="22"/>
                <w:lang w:val="en-US" w:eastAsia="zh-CN"/>
              </w:rPr>
              <w:t>16.81</w:t>
            </w:r>
            <w:r>
              <w:rPr>
                <w:rFonts w:hint="eastAsia" w:ascii="宋体" w:hAnsi="宋体" w:eastAsia="宋体" w:cs="宋体"/>
                <w:kern w:val="0"/>
                <w:sz w:val="22"/>
              </w:rPr>
              <w:t>元/人份</w:t>
            </w:r>
          </w:p>
        </w:tc>
        <w:tc>
          <w:tcPr>
            <w:tcW w:w="2440" w:type="dxa"/>
            <w:tcBorders>
              <w:top w:val="nil"/>
              <w:left w:val="nil"/>
              <w:bottom w:val="single" w:color="auto" w:sz="4" w:space="0"/>
              <w:right w:val="single" w:color="auto" w:sz="4" w:space="0"/>
            </w:tcBorders>
            <w:shd w:val="clear" w:color="000000" w:fill="FFFFFF"/>
            <w:noWrap/>
            <w:vAlign w:val="bottom"/>
          </w:tcPr>
          <w:p w14:paraId="7A1DB701">
            <w:pPr>
              <w:widowControl/>
              <w:jc w:val="center"/>
              <w:rPr>
                <w:rFonts w:ascii="宋体" w:hAnsi="宋体" w:eastAsia="宋体" w:cs="宋体"/>
                <w:kern w:val="0"/>
                <w:sz w:val="22"/>
              </w:rPr>
            </w:pPr>
            <w:r>
              <w:rPr>
                <w:rFonts w:hint="eastAsia" w:ascii="宋体" w:hAnsi="宋体" w:eastAsia="宋体" w:cs="宋体"/>
                <w:kern w:val="0"/>
                <w:sz w:val="22"/>
              </w:rPr>
              <w:t>适用于罗氏E601设备</w:t>
            </w:r>
          </w:p>
        </w:tc>
      </w:tr>
      <w:tr w14:paraId="034D18EB">
        <w:tblPrEx>
          <w:tblCellMar>
            <w:top w:w="0" w:type="dxa"/>
            <w:left w:w="108" w:type="dxa"/>
            <w:bottom w:w="0" w:type="dxa"/>
            <w:right w:w="108" w:type="dxa"/>
          </w:tblCellMar>
        </w:tblPrEx>
        <w:trPr>
          <w:trHeight w:val="480" w:hRule="atLeast"/>
        </w:trPr>
        <w:tc>
          <w:tcPr>
            <w:tcW w:w="920" w:type="dxa"/>
            <w:vMerge w:val="continue"/>
            <w:tcBorders>
              <w:top w:val="nil"/>
              <w:left w:val="single" w:color="auto" w:sz="4" w:space="0"/>
              <w:bottom w:val="single" w:color="000000" w:sz="4" w:space="0"/>
              <w:right w:val="single" w:color="auto" w:sz="4" w:space="0"/>
            </w:tcBorders>
            <w:vAlign w:val="center"/>
          </w:tcPr>
          <w:p w14:paraId="1DBAF02E">
            <w:pPr>
              <w:widowControl/>
              <w:jc w:val="left"/>
              <w:rPr>
                <w:rFonts w:ascii="宋体" w:hAnsi="宋体" w:eastAsia="宋体" w:cs="宋体"/>
                <w:color w:val="000000"/>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610CB0B2">
            <w:pPr>
              <w:widowControl/>
              <w:jc w:val="left"/>
              <w:rPr>
                <w:rFonts w:ascii="宋体" w:hAnsi="宋体" w:eastAsia="宋体" w:cs="宋体"/>
                <w:kern w:val="0"/>
                <w:sz w:val="22"/>
              </w:rPr>
            </w:pPr>
            <w:r>
              <w:rPr>
                <w:rFonts w:hint="eastAsia" w:ascii="宋体" w:hAnsi="宋体" w:eastAsia="宋体" w:cs="宋体"/>
                <w:kern w:val="0"/>
                <w:sz w:val="22"/>
              </w:rPr>
              <w:t>免疫通用质控品</w:t>
            </w:r>
          </w:p>
        </w:tc>
        <w:tc>
          <w:tcPr>
            <w:tcW w:w="2220" w:type="dxa"/>
            <w:tcBorders>
              <w:top w:val="nil"/>
              <w:left w:val="nil"/>
              <w:bottom w:val="single" w:color="auto" w:sz="4" w:space="0"/>
              <w:right w:val="single" w:color="auto" w:sz="4" w:space="0"/>
            </w:tcBorders>
            <w:shd w:val="clear" w:color="000000" w:fill="FFFFFF"/>
            <w:noWrap/>
            <w:vAlign w:val="bottom"/>
          </w:tcPr>
          <w:p w14:paraId="3AE845B3">
            <w:pPr>
              <w:widowControl/>
              <w:jc w:val="center"/>
              <w:rPr>
                <w:rFonts w:ascii="宋体" w:hAnsi="宋体" w:eastAsia="宋体" w:cs="宋体"/>
                <w:kern w:val="0"/>
                <w:sz w:val="22"/>
              </w:rPr>
            </w:pPr>
            <w:r>
              <w:rPr>
                <w:rFonts w:hint="eastAsia" w:ascii="宋体" w:hAnsi="宋体" w:eastAsia="宋体" w:cs="宋体"/>
                <w:kern w:val="0"/>
                <w:sz w:val="22"/>
              </w:rPr>
              <w:t>电化学发光法</w:t>
            </w:r>
          </w:p>
        </w:tc>
        <w:tc>
          <w:tcPr>
            <w:tcW w:w="1640" w:type="dxa"/>
            <w:tcBorders>
              <w:top w:val="nil"/>
              <w:left w:val="nil"/>
              <w:bottom w:val="single" w:color="auto" w:sz="4" w:space="0"/>
              <w:right w:val="single" w:color="auto" w:sz="4" w:space="0"/>
            </w:tcBorders>
            <w:shd w:val="clear" w:color="000000" w:fill="FFFFFF"/>
            <w:noWrap/>
            <w:vAlign w:val="bottom"/>
          </w:tcPr>
          <w:p w14:paraId="741B2E0C">
            <w:pPr>
              <w:widowControl/>
              <w:jc w:val="center"/>
              <w:rPr>
                <w:rFonts w:ascii="宋体" w:hAnsi="宋体" w:eastAsia="宋体" w:cs="宋体"/>
                <w:kern w:val="0"/>
                <w:sz w:val="22"/>
              </w:rPr>
            </w:pPr>
            <w:r>
              <w:rPr>
                <w:rFonts w:hint="eastAsia" w:ascii="宋体" w:hAnsi="宋体" w:eastAsia="宋体" w:cs="宋体"/>
                <w:kern w:val="0"/>
                <w:sz w:val="22"/>
                <w:lang w:val="en-US" w:eastAsia="zh-CN"/>
              </w:rPr>
              <w:t>63.56</w:t>
            </w:r>
            <w:r>
              <w:rPr>
                <w:rFonts w:hint="eastAsia" w:ascii="宋体" w:hAnsi="宋体" w:eastAsia="宋体" w:cs="宋体"/>
                <w:kern w:val="0"/>
                <w:sz w:val="22"/>
              </w:rPr>
              <w:t>元/ml</w:t>
            </w:r>
          </w:p>
        </w:tc>
        <w:tc>
          <w:tcPr>
            <w:tcW w:w="2440" w:type="dxa"/>
            <w:tcBorders>
              <w:top w:val="nil"/>
              <w:left w:val="nil"/>
              <w:bottom w:val="single" w:color="auto" w:sz="4" w:space="0"/>
              <w:right w:val="single" w:color="auto" w:sz="4" w:space="0"/>
            </w:tcBorders>
            <w:shd w:val="clear" w:color="000000" w:fill="FFFFFF"/>
            <w:noWrap/>
            <w:vAlign w:val="bottom"/>
          </w:tcPr>
          <w:p w14:paraId="37F0EA65">
            <w:pPr>
              <w:widowControl/>
              <w:jc w:val="center"/>
              <w:rPr>
                <w:rFonts w:ascii="宋体" w:hAnsi="宋体" w:eastAsia="宋体" w:cs="宋体"/>
                <w:kern w:val="0"/>
                <w:sz w:val="22"/>
              </w:rPr>
            </w:pPr>
            <w:r>
              <w:rPr>
                <w:rFonts w:hint="eastAsia" w:ascii="宋体" w:hAnsi="宋体" w:eastAsia="宋体" w:cs="宋体"/>
                <w:kern w:val="0"/>
                <w:sz w:val="22"/>
              </w:rPr>
              <w:t>适用于罗氏E601设备</w:t>
            </w:r>
          </w:p>
        </w:tc>
      </w:tr>
      <w:tr w14:paraId="5F325688">
        <w:tblPrEx>
          <w:tblCellMar>
            <w:top w:w="0" w:type="dxa"/>
            <w:left w:w="108" w:type="dxa"/>
            <w:bottom w:w="0" w:type="dxa"/>
            <w:right w:w="108" w:type="dxa"/>
          </w:tblCellMar>
        </w:tblPrEx>
        <w:trPr>
          <w:trHeight w:val="480" w:hRule="atLeast"/>
        </w:trPr>
        <w:tc>
          <w:tcPr>
            <w:tcW w:w="920" w:type="dxa"/>
            <w:vMerge w:val="continue"/>
            <w:tcBorders>
              <w:top w:val="nil"/>
              <w:left w:val="single" w:color="auto" w:sz="4" w:space="0"/>
              <w:bottom w:val="single" w:color="000000" w:sz="4" w:space="0"/>
              <w:right w:val="single" w:color="auto" w:sz="4" w:space="0"/>
            </w:tcBorders>
            <w:vAlign w:val="center"/>
          </w:tcPr>
          <w:p w14:paraId="1C953F41">
            <w:pPr>
              <w:widowControl/>
              <w:jc w:val="left"/>
              <w:rPr>
                <w:rFonts w:ascii="宋体" w:hAnsi="宋体" w:eastAsia="宋体" w:cs="宋体"/>
                <w:color w:val="000000"/>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367D23FF">
            <w:pPr>
              <w:widowControl/>
              <w:jc w:val="left"/>
              <w:rPr>
                <w:rFonts w:ascii="宋体" w:hAnsi="宋体" w:eastAsia="宋体" w:cs="宋体"/>
                <w:kern w:val="0"/>
                <w:sz w:val="22"/>
              </w:rPr>
            </w:pPr>
            <w:r>
              <w:rPr>
                <w:rFonts w:hint="eastAsia" w:ascii="宋体" w:hAnsi="宋体" w:eastAsia="宋体" w:cs="宋体"/>
                <w:kern w:val="0"/>
                <w:sz w:val="22"/>
              </w:rPr>
              <w:t>Dil Uin 稀释液</w:t>
            </w:r>
          </w:p>
        </w:tc>
        <w:tc>
          <w:tcPr>
            <w:tcW w:w="2220" w:type="dxa"/>
            <w:tcBorders>
              <w:top w:val="nil"/>
              <w:left w:val="nil"/>
              <w:bottom w:val="single" w:color="auto" w:sz="4" w:space="0"/>
              <w:right w:val="single" w:color="auto" w:sz="4" w:space="0"/>
            </w:tcBorders>
            <w:shd w:val="clear" w:color="000000" w:fill="FFFFFF"/>
            <w:noWrap/>
            <w:vAlign w:val="bottom"/>
          </w:tcPr>
          <w:p w14:paraId="2E54CD98">
            <w:pPr>
              <w:widowControl/>
              <w:jc w:val="center"/>
              <w:rPr>
                <w:rFonts w:ascii="宋体" w:hAnsi="宋体" w:eastAsia="宋体" w:cs="宋体"/>
                <w:kern w:val="0"/>
                <w:sz w:val="22"/>
              </w:rPr>
            </w:pPr>
            <w:r>
              <w:rPr>
                <w:rFonts w:hint="eastAsia" w:ascii="宋体" w:hAnsi="宋体" w:eastAsia="宋体" w:cs="宋体"/>
                <w:kern w:val="0"/>
                <w:sz w:val="22"/>
              </w:rPr>
              <w:t>电化学发光法</w:t>
            </w:r>
          </w:p>
        </w:tc>
        <w:tc>
          <w:tcPr>
            <w:tcW w:w="1640" w:type="dxa"/>
            <w:tcBorders>
              <w:top w:val="nil"/>
              <w:left w:val="nil"/>
              <w:bottom w:val="single" w:color="auto" w:sz="4" w:space="0"/>
              <w:right w:val="single" w:color="auto" w:sz="4" w:space="0"/>
            </w:tcBorders>
            <w:shd w:val="clear" w:color="000000" w:fill="FFFFFF"/>
            <w:noWrap/>
            <w:vAlign w:val="bottom"/>
          </w:tcPr>
          <w:p w14:paraId="40C4B507">
            <w:pPr>
              <w:widowControl/>
              <w:jc w:val="center"/>
              <w:rPr>
                <w:rFonts w:ascii="宋体" w:hAnsi="宋体" w:eastAsia="宋体" w:cs="宋体"/>
                <w:kern w:val="0"/>
                <w:sz w:val="22"/>
              </w:rPr>
            </w:pPr>
            <w:r>
              <w:rPr>
                <w:rFonts w:hint="eastAsia" w:ascii="宋体" w:hAnsi="宋体" w:eastAsia="宋体" w:cs="宋体"/>
                <w:kern w:val="0"/>
                <w:sz w:val="22"/>
                <w:lang w:val="en-US" w:eastAsia="zh-CN"/>
              </w:rPr>
              <w:t>6.94</w:t>
            </w:r>
            <w:r>
              <w:rPr>
                <w:rFonts w:hint="eastAsia" w:ascii="宋体" w:hAnsi="宋体" w:eastAsia="宋体" w:cs="宋体"/>
                <w:kern w:val="0"/>
                <w:sz w:val="22"/>
              </w:rPr>
              <w:t>元/ml</w:t>
            </w:r>
          </w:p>
        </w:tc>
        <w:tc>
          <w:tcPr>
            <w:tcW w:w="2440" w:type="dxa"/>
            <w:tcBorders>
              <w:top w:val="nil"/>
              <w:left w:val="nil"/>
              <w:bottom w:val="single" w:color="auto" w:sz="4" w:space="0"/>
              <w:right w:val="single" w:color="auto" w:sz="4" w:space="0"/>
            </w:tcBorders>
            <w:shd w:val="clear" w:color="000000" w:fill="FFFFFF"/>
            <w:noWrap/>
            <w:vAlign w:val="bottom"/>
          </w:tcPr>
          <w:p w14:paraId="67A4EF8D">
            <w:pPr>
              <w:widowControl/>
              <w:jc w:val="center"/>
              <w:rPr>
                <w:rFonts w:ascii="宋体" w:hAnsi="宋体" w:eastAsia="宋体" w:cs="宋体"/>
                <w:kern w:val="0"/>
                <w:sz w:val="22"/>
              </w:rPr>
            </w:pPr>
            <w:r>
              <w:rPr>
                <w:rFonts w:hint="eastAsia" w:ascii="宋体" w:hAnsi="宋体" w:eastAsia="宋体" w:cs="宋体"/>
                <w:kern w:val="0"/>
                <w:sz w:val="22"/>
              </w:rPr>
              <w:t>适用于罗氏E601设备</w:t>
            </w:r>
          </w:p>
        </w:tc>
      </w:tr>
      <w:tr w14:paraId="33BC149E">
        <w:tblPrEx>
          <w:tblCellMar>
            <w:top w:w="0" w:type="dxa"/>
            <w:left w:w="108" w:type="dxa"/>
            <w:bottom w:w="0" w:type="dxa"/>
            <w:right w:w="108" w:type="dxa"/>
          </w:tblCellMar>
        </w:tblPrEx>
        <w:trPr>
          <w:trHeight w:val="480" w:hRule="atLeast"/>
        </w:trPr>
        <w:tc>
          <w:tcPr>
            <w:tcW w:w="920" w:type="dxa"/>
            <w:vMerge w:val="continue"/>
            <w:tcBorders>
              <w:top w:val="nil"/>
              <w:left w:val="single" w:color="auto" w:sz="4" w:space="0"/>
              <w:bottom w:val="single" w:color="000000" w:sz="4" w:space="0"/>
              <w:right w:val="single" w:color="auto" w:sz="4" w:space="0"/>
            </w:tcBorders>
            <w:vAlign w:val="center"/>
          </w:tcPr>
          <w:p w14:paraId="622CF668">
            <w:pPr>
              <w:widowControl/>
              <w:jc w:val="left"/>
              <w:rPr>
                <w:rFonts w:ascii="宋体" w:hAnsi="宋体" w:eastAsia="宋体" w:cs="宋体"/>
                <w:color w:val="000000"/>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7F255399">
            <w:pPr>
              <w:widowControl/>
              <w:jc w:val="left"/>
              <w:rPr>
                <w:rFonts w:ascii="宋体" w:hAnsi="宋体" w:eastAsia="宋体" w:cs="宋体"/>
                <w:kern w:val="0"/>
                <w:sz w:val="22"/>
              </w:rPr>
            </w:pPr>
            <w:r>
              <w:rPr>
                <w:rFonts w:hint="eastAsia" w:ascii="宋体" w:hAnsi="宋体" w:eastAsia="宋体" w:cs="宋体"/>
                <w:kern w:val="0"/>
                <w:sz w:val="22"/>
              </w:rPr>
              <w:t>清洗液CC</w:t>
            </w:r>
          </w:p>
        </w:tc>
        <w:tc>
          <w:tcPr>
            <w:tcW w:w="2220" w:type="dxa"/>
            <w:tcBorders>
              <w:top w:val="nil"/>
              <w:left w:val="nil"/>
              <w:bottom w:val="single" w:color="auto" w:sz="4" w:space="0"/>
              <w:right w:val="single" w:color="auto" w:sz="4" w:space="0"/>
            </w:tcBorders>
            <w:shd w:val="clear" w:color="000000" w:fill="FFFFFF"/>
            <w:noWrap/>
            <w:vAlign w:val="bottom"/>
          </w:tcPr>
          <w:p w14:paraId="3B00A3B3">
            <w:pPr>
              <w:widowControl/>
              <w:jc w:val="center"/>
              <w:rPr>
                <w:rFonts w:ascii="宋体" w:hAnsi="宋体" w:eastAsia="宋体" w:cs="宋体"/>
                <w:kern w:val="0"/>
                <w:sz w:val="22"/>
              </w:rPr>
            </w:pPr>
            <w:r>
              <w:rPr>
                <w:rFonts w:hint="eastAsia" w:ascii="宋体" w:hAnsi="宋体" w:eastAsia="宋体" w:cs="宋体"/>
                <w:kern w:val="0"/>
                <w:sz w:val="22"/>
              </w:rPr>
              <w:t>电化学发光法</w:t>
            </w:r>
          </w:p>
        </w:tc>
        <w:tc>
          <w:tcPr>
            <w:tcW w:w="1640" w:type="dxa"/>
            <w:tcBorders>
              <w:top w:val="nil"/>
              <w:left w:val="nil"/>
              <w:bottom w:val="single" w:color="auto" w:sz="4" w:space="0"/>
              <w:right w:val="single" w:color="auto" w:sz="4" w:space="0"/>
            </w:tcBorders>
            <w:shd w:val="clear" w:color="000000" w:fill="FFFFFF"/>
            <w:noWrap/>
            <w:vAlign w:val="bottom"/>
          </w:tcPr>
          <w:p w14:paraId="6CC51AE9">
            <w:pPr>
              <w:widowControl/>
              <w:jc w:val="center"/>
              <w:rPr>
                <w:rFonts w:ascii="宋体" w:hAnsi="宋体" w:eastAsia="宋体" w:cs="宋体"/>
                <w:kern w:val="0"/>
                <w:sz w:val="22"/>
              </w:rPr>
            </w:pPr>
            <w:r>
              <w:rPr>
                <w:rFonts w:hint="eastAsia" w:ascii="宋体" w:hAnsi="宋体" w:eastAsia="宋体" w:cs="宋体"/>
                <w:kern w:val="0"/>
                <w:sz w:val="22"/>
                <w:lang w:val="en-US" w:eastAsia="zh-CN"/>
              </w:rPr>
              <w:t>267.52</w:t>
            </w:r>
            <w:r>
              <w:rPr>
                <w:rFonts w:hint="eastAsia" w:ascii="宋体" w:hAnsi="宋体" w:eastAsia="宋体" w:cs="宋体"/>
                <w:kern w:val="0"/>
                <w:sz w:val="22"/>
              </w:rPr>
              <w:t>元/L</w:t>
            </w:r>
          </w:p>
        </w:tc>
        <w:tc>
          <w:tcPr>
            <w:tcW w:w="2440" w:type="dxa"/>
            <w:tcBorders>
              <w:top w:val="nil"/>
              <w:left w:val="nil"/>
              <w:bottom w:val="single" w:color="auto" w:sz="4" w:space="0"/>
              <w:right w:val="single" w:color="auto" w:sz="4" w:space="0"/>
            </w:tcBorders>
            <w:shd w:val="clear" w:color="000000" w:fill="FFFFFF"/>
            <w:noWrap/>
            <w:vAlign w:val="bottom"/>
          </w:tcPr>
          <w:p w14:paraId="38F2FEE3">
            <w:pPr>
              <w:widowControl/>
              <w:jc w:val="center"/>
              <w:rPr>
                <w:rFonts w:ascii="宋体" w:hAnsi="宋体" w:eastAsia="宋体" w:cs="宋体"/>
                <w:kern w:val="0"/>
                <w:sz w:val="22"/>
              </w:rPr>
            </w:pPr>
            <w:r>
              <w:rPr>
                <w:rFonts w:hint="eastAsia" w:ascii="宋体" w:hAnsi="宋体" w:eastAsia="宋体" w:cs="宋体"/>
                <w:kern w:val="0"/>
                <w:sz w:val="22"/>
              </w:rPr>
              <w:t>适用于罗氏E601设备</w:t>
            </w:r>
          </w:p>
        </w:tc>
      </w:tr>
      <w:tr w14:paraId="4B3FDDD4">
        <w:tblPrEx>
          <w:tblCellMar>
            <w:top w:w="0" w:type="dxa"/>
            <w:left w:w="108" w:type="dxa"/>
            <w:bottom w:w="0" w:type="dxa"/>
            <w:right w:w="108" w:type="dxa"/>
          </w:tblCellMar>
        </w:tblPrEx>
        <w:trPr>
          <w:trHeight w:val="480" w:hRule="atLeast"/>
        </w:trPr>
        <w:tc>
          <w:tcPr>
            <w:tcW w:w="920" w:type="dxa"/>
            <w:vMerge w:val="continue"/>
            <w:tcBorders>
              <w:top w:val="nil"/>
              <w:left w:val="single" w:color="auto" w:sz="4" w:space="0"/>
              <w:bottom w:val="single" w:color="000000" w:sz="4" w:space="0"/>
              <w:right w:val="single" w:color="auto" w:sz="4" w:space="0"/>
            </w:tcBorders>
            <w:vAlign w:val="center"/>
          </w:tcPr>
          <w:p w14:paraId="690C8C3F">
            <w:pPr>
              <w:widowControl/>
              <w:jc w:val="left"/>
              <w:rPr>
                <w:rFonts w:ascii="宋体" w:hAnsi="宋体" w:eastAsia="宋体" w:cs="宋体"/>
                <w:color w:val="000000"/>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7E4CAF11">
            <w:pPr>
              <w:widowControl/>
              <w:jc w:val="left"/>
              <w:rPr>
                <w:rFonts w:ascii="宋体" w:hAnsi="宋体" w:eastAsia="宋体" w:cs="宋体"/>
                <w:kern w:val="0"/>
                <w:sz w:val="22"/>
              </w:rPr>
            </w:pPr>
            <w:r>
              <w:rPr>
                <w:rFonts w:hint="eastAsia" w:ascii="宋体" w:hAnsi="宋体" w:eastAsia="宋体" w:cs="宋体"/>
                <w:kern w:val="0"/>
                <w:sz w:val="22"/>
              </w:rPr>
              <w:t>清洗液PC</w:t>
            </w:r>
          </w:p>
        </w:tc>
        <w:tc>
          <w:tcPr>
            <w:tcW w:w="2220" w:type="dxa"/>
            <w:tcBorders>
              <w:top w:val="nil"/>
              <w:left w:val="nil"/>
              <w:bottom w:val="single" w:color="auto" w:sz="4" w:space="0"/>
              <w:right w:val="single" w:color="auto" w:sz="4" w:space="0"/>
            </w:tcBorders>
            <w:shd w:val="clear" w:color="000000" w:fill="FFFFFF"/>
            <w:noWrap/>
            <w:vAlign w:val="bottom"/>
          </w:tcPr>
          <w:p w14:paraId="17D0DB10">
            <w:pPr>
              <w:widowControl/>
              <w:jc w:val="center"/>
              <w:rPr>
                <w:rFonts w:ascii="宋体" w:hAnsi="宋体" w:eastAsia="宋体" w:cs="宋体"/>
                <w:kern w:val="0"/>
                <w:sz w:val="22"/>
              </w:rPr>
            </w:pPr>
            <w:r>
              <w:rPr>
                <w:rFonts w:hint="eastAsia" w:ascii="宋体" w:hAnsi="宋体" w:eastAsia="宋体" w:cs="宋体"/>
                <w:kern w:val="0"/>
                <w:sz w:val="22"/>
              </w:rPr>
              <w:t>电化学发光法</w:t>
            </w:r>
          </w:p>
        </w:tc>
        <w:tc>
          <w:tcPr>
            <w:tcW w:w="1640" w:type="dxa"/>
            <w:tcBorders>
              <w:top w:val="nil"/>
              <w:left w:val="nil"/>
              <w:bottom w:val="single" w:color="auto" w:sz="4" w:space="0"/>
              <w:right w:val="single" w:color="auto" w:sz="4" w:space="0"/>
            </w:tcBorders>
            <w:shd w:val="clear" w:color="000000" w:fill="FFFFFF"/>
            <w:noWrap/>
            <w:vAlign w:val="bottom"/>
          </w:tcPr>
          <w:p w14:paraId="737D6BC5">
            <w:pPr>
              <w:widowControl/>
              <w:jc w:val="center"/>
              <w:rPr>
                <w:rFonts w:ascii="宋体" w:hAnsi="宋体" w:eastAsia="宋体" w:cs="宋体"/>
                <w:kern w:val="0"/>
                <w:sz w:val="22"/>
              </w:rPr>
            </w:pPr>
            <w:r>
              <w:rPr>
                <w:rFonts w:hint="eastAsia" w:ascii="宋体" w:hAnsi="宋体" w:eastAsia="宋体" w:cs="宋体"/>
                <w:kern w:val="0"/>
                <w:sz w:val="22"/>
                <w:lang w:val="en-US" w:eastAsia="zh-CN"/>
              </w:rPr>
              <w:t>267.52</w:t>
            </w:r>
            <w:r>
              <w:rPr>
                <w:rFonts w:hint="eastAsia" w:ascii="宋体" w:hAnsi="宋体" w:eastAsia="宋体" w:cs="宋体"/>
                <w:kern w:val="0"/>
                <w:sz w:val="22"/>
              </w:rPr>
              <w:t>元/L</w:t>
            </w:r>
          </w:p>
        </w:tc>
        <w:tc>
          <w:tcPr>
            <w:tcW w:w="2440" w:type="dxa"/>
            <w:tcBorders>
              <w:top w:val="nil"/>
              <w:left w:val="nil"/>
              <w:bottom w:val="single" w:color="auto" w:sz="4" w:space="0"/>
              <w:right w:val="single" w:color="auto" w:sz="4" w:space="0"/>
            </w:tcBorders>
            <w:shd w:val="clear" w:color="000000" w:fill="FFFFFF"/>
            <w:noWrap/>
            <w:vAlign w:val="bottom"/>
          </w:tcPr>
          <w:p w14:paraId="0F7EF10C">
            <w:pPr>
              <w:widowControl/>
              <w:jc w:val="center"/>
              <w:rPr>
                <w:rFonts w:ascii="宋体" w:hAnsi="宋体" w:eastAsia="宋体" w:cs="宋体"/>
                <w:kern w:val="0"/>
                <w:sz w:val="22"/>
              </w:rPr>
            </w:pPr>
            <w:r>
              <w:rPr>
                <w:rFonts w:hint="eastAsia" w:ascii="宋体" w:hAnsi="宋体" w:eastAsia="宋体" w:cs="宋体"/>
                <w:kern w:val="0"/>
                <w:sz w:val="22"/>
              </w:rPr>
              <w:t>适用于罗氏E601设备</w:t>
            </w:r>
          </w:p>
        </w:tc>
      </w:tr>
      <w:tr w14:paraId="01DDF013">
        <w:tblPrEx>
          <w:tblCellMar>
            <w:top w:w="0" w:type="dxa"/>
            <w:left w:w="108" w:type="dxa"/>
            <w:bottom w:w="0" w:type="dxa"/>
            <w:right w:w="108" w:type="dxa"/>
          </w:tblCellMar>
        </w:tblPrEx>
        <w:trPr>
          <w:trHeight w:val="480" w:hRule="atLeast"/>
        </w:trPr>
        <w:tc>
          <w:tcPr>
            <w:tcW w:w="920" w:type="dxa"/>
            <w:vMerge w:val="continue"/>
            <w:tcBorders>
              <w:top w:val="nil"/>
              <w:left w:val="single" w:color="auto" w:sz="4" w:space="0"/>
              <w:bottom w:val="single" w:color="000000" w:sz="4" w:space="0"/>
              <w:right w:val="single" w:color="auto" w:sz="4" w:space="0"/>
            </w:tcBorders>
            <w:vAlign w:val="center"/>
          </w:tcPr>
          <w:p w14:paraId="5E56A121">
            <w:pPr>
              <w:widowControl/>
              <w:jc w:val="left"/>
              <w:rPr>
                <w:rFonts w:ascii="宋体" w:hAnsi="宋体" w:eastAsia="宋体" w:cs="宋体"/>
                <w:color w:val="000000"/>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78549D19">
            <w:pPr>
              <w:widowControl/>
              <w:jc w:val="left"/>
              <w:rPr>
                <w:rFonts w:ascii="宋体" w:hAnsi="宋体" w:eastAsia="宋体" w:cs="宋体"/>
                <w:kern w:val="0"/>
                <w:sz w:val="22"/>
              </w:rPr>
            </w:pPr>
            <w:r>
              <w:rPr>
                <w:rFonts w:hint="eastAsia" w:ascii="宋体" w:hAnsi="宋体" w:eastAsia="宋体" w:cs="宋体"/>
                <w:kern w:val="0"/>
                <w:sz w:val="22"/>
              </w:rPr>
              <w:t>PM缓冲液</w:t>
            </w:r>
          </w:p>
        </w:tc>
        <w:tc>
          <w:tcPr>
            <w:tcW w:w="2220" w:type="dxa"/>
            <w:tcBorders>
              <w:top w:val="nil"/>
              <w:left w:val="nil"/>
              <w:bottom w:val="single" w:color="auto" w:sz="4" w:space="0"/>
              <w:right w:val="single" w:color="auto" w:sz="4" w:space="0"/>
            </w:tcBorders>
            <w:shd w:val="clear" w:color="000000" w:fill="FFFFFF"/>
            <w:noWrap/>
            <w:vAlign w:val="bottom"/>
          </w:tcPr>
          <w:p w14:paraId="7E5F3323">
            <w:pPr>
              <w:widowControl/>
              <w:jc w:val="center"/>
              <w:rPr>
                <w:rFonts w:ascii="宋体" w:hAnsi="宋体" w:eastAsia="宋体" w:cs="宋体"/>
                <w:kern w:val="0"/>
                <w:sz w:val="22"/>
              </w:rPr>
            </w:pPr>
            <w:r>
              <w:rPr>
                <w:rFonts w:hint="eastAsia" w:ascii="宋体" w:hAnsi="宋体" w:eastAsia="宋体" w:cs="宋体"/>
                <w:kern w:val="0"/>
                <w:sz w:val="22"/>
              </w:rPr>
              <w:t>电化学发光法</w:t>
            </w:r>
          </w:p>
        </w:tc>
        <w:tc>
          <w:tcPr>
            <w:tcW w:w="1640" w:type="dxa"/>
            <w:tcBorders>
              <w:top w:val="nil"/>
              <w:left w:val="nil"/>
              <w:bottom w:val="single" w:color="auto" w:sz="4" w:space="0"/>
              <w:right w:val="single" w:color="auto" w:sz="4" w:space="0"/>
            </w:tcBorders>
            <w:shd w:val="clear" w:color="000000" w:fill="FFFFFF"/>
            <w:noWrap/>
            <w:vAlign w:val="bottom"/>
          </w:tcPr>
          <w:p w14:paraId="04F38BBA">
            <w:pPr>
              <w:widowControl/>
              <w:jc w:val="center"/>
              <w:rPr>
                <w:rFonts w:ascii="宋体" w:hAnsi="宋体" w:eastAsia="宋体" w:cs="宋体"/>
                <w:kern w:val="0"/>
                <w:sz w:val="22"/>
              </w:rPr>
            </w:pPr>
            <w:r>
              <w:rPr>
                <w:rFonts w:hint="eastAsia" w:ascii="宋体" w:hAnsi="宋体" w:eastAsia="宋体" w:cs="宋体"/>
                <w:kern w:val="0"/>
                <w:sz w:val="22"/>
              </w:rPr>
              <w:t>0.2</w:t>
            </w:r>
            <w:r>
              <w:rPr>
                <w:rFonts w:hint="eastAsia" w:ascii="宋体" w:hAnsi="宋体" w:eastAsia="宋体" w:cs="宋体"/>
                <w:kern w:val="0"/>
                <w:sz w:val="22"/>
                <w:lang w:val="en-US" w:eastAsia="zh-CN"/>
              </w:rPr>
              <w:t>2</w:t>
            </w:r>
            <w:r>
              <w:rPr>
                <w:rFonts w:hint="eastAsia" w:ascii="宋体" w:hAnsi="宋体" w:eastAsia="宋体" w:cs="宋体"/>
                <w:kern w:val="0"/>
                <w:sz w:val="22"/>
              </w:rPr>
              <w:t>元/ml</w:t>
            </w:r>
          </w:p>
        </w:tc>
        <w:tc>
          <w:tcPr>
            <w:tcW w:w="2440" w:type="dxa"/>
            <w:tcBorders>
              <w:top w:val="nil"/>
              <w:left w:val="nil"/>
              <w:bottom w:val="single" w:color="auto" w:sz="4" w:space="0"/>
              <w:right w:val="single" w:color="auto" w:sz="4" w:space="0"/>
            </w:tcBorders>
            <w:shd w:val="clear" w:color="000000" w:fill="FFFFFF"/>
            <w:noWrap/>
            <w:vAlign w:val="bottom"/>
          </w:tcPr>
          <w:p w14:paraId="2D97AAA1">
            <w:pPr>
              <w:widowControl/>
              <w:jc w:val="center"/>
              <w:rPr>
                <w:rFonts w:ascii="宋体" w:hAnsi="宋体" w:eastAsia="宋体" w:cs="宋体"/>
                <w:kern w:val="0"/>
                <w:sz w:val="22"/>
              </w:rPr>
            </w:pPr>
            <w:r>
              <w:rPr>
                <w:rFonts w:hint="eastAsia" w:ascii="宋体" w:hAnsi="宋体" w:eastAsia="宋体" w:cs="宋体"/>
                <w:kern w:val="0"/>
                <w:sz w:val="22"/>
              </w:rPr>
              <w:t>适用于罗氏E601设备</w:t>
            </w:r>
          </w:p>
        </w:tc>
      </w:tr>
      <w:tr w14:paraId="1467978E">
        <w:tblPrEx>
          <w:tblCellMar>
            <w:top w:w="0" w:type="dxa"/>
            <w:left w:w="108" w:type="dxa"/>
            <w:bottom w:w="0" w:type="dxa"/>
            <w:right w:w="108" w:type="dxa"/>
          </w:tblCellMar>
        </w:tblPrEx>
        <w:trPr>
          <w:trHeight w:val="480" w:hRule="atLeast"/>
        </w:trPr>
        <w:tc>
          <w:tcPr>
            <w:tcW w:w="920" w:type="dxa"/>
            <w:vMerge w:val="continue"/>
            <w:tcBorders>
              <w:top w:val="nil"/>
              <w:left w:val="single" w:color="auto" w:sz="4" w:space="0"/>
              <w:bottom w:val="single" w:color="000000" w:sz="4" w:space="0"/>
              <w:right w:val="single" w:color="auto" w:sz="4" w:space="0"/>
            </w:tcBorders>
            <w:vAlign w:val="center"/>
          </w:tcPr>
          <w:p w14:paraId="664F0947">
            <w:pPr>
              <w:widowControl/>
              <w:jc w:val="left"/>
              <w:rPr>
                <w:rFonts w:ascii="宋体" w:hAnsi="宋体" w:eastAsia="宋体" w:cs="宋体"/>
                <w:color w:val="000000"/>
                <w:kern w:val="0"/>
                <w:sz w:val="24"/>
                <w:szCs w:val="24"/>
              </w:rPr>
            </w:pPr>
          </w:p>
        </w:tc>
        <w:tc>
          <w:tcPr>
            <w:tcW w:w="2800" w:type="dxa"/>
            <w:tcBorders>
              <w:top w:val="nil"/>
              <w:left w:val="nil"/>
              <w:bottom w:val="single" w:color="auto" w:sz="4" w:space="0"/>
              <w:right w:val="single" w:color="auto" w:sz="4" w:space="0"/>
            </w:tcBorders>
            <w:shd w:val="clear" w:color="000000" w:fill="FFFFFF"/>
            <w:vAlign w:val="bottom"/>
          </w:tcPr>
          <w:p w14:paraId="0869C321">
            <w:pPr>
              <w:widowControl/>
              <w:jc w:val="left"/>
              <w:rPr>
                <w:rFonts w:ascii="宋体" w:hAnsi="宋体" w:eastAsia="宋体" w:cs="宋体"/>
                <w:kern w:val="0"/>
                <w:sz w:val="22"/>
              </w:rPr>
            </w:pPr>
            <w:r>
              <w:rPr>
                <w:rFonts w:hint="eastAsia" w:ascii="宋体" w:hAnsi="宋体" w:eastAsia="宋体" w:cs="宋体"/>
                <w:kern w:val="0"/>
                <w:sz w:val="22"/>
              </w:rPr>
              <w:t>分析吸头/分析杯</w:t>
            </w:r>
          </w:p>
        </w:tc>
        <w:tc>
          <w:tcPr>
            <w:tcW w:w="2220" w:type="dxa"/>
            <w:tcBorders>
              <w:top w:val="nil"/>
              <w:left w:val="nil"/>
              <w:bottom w:val="single" w:color="auto" w:sz="4" w:space="0"/>
              <w:right w:val="single" w:color="auto" w:sz="4" w:space="0"/>
            </w:tcBorders>
            <w:shd w:val="clear" w:color="000000" w:fill="FFFFFF"/>
            <w:noWrap/>
            <w:vAlign w:val="bottom"/>
          </w:tcPr>
          <w:p w14:paraId="482C0D46">
            <w:pPr>
              <w:widowControl/>
              <w:jc w:val="center"/>
              <w:rPr>
                <w:rFonts w:ascii="宋体" w:hAnsi="宋体" w:eastAsia="宋体" w:cs="宋体"/>
                <w:kern w:val="0"/>
                <w:sz w:val="22"/>
              </w:rPr>
            </w:pPr>
            <w:r>
              <w:rPr>
                <w:rFonts w:hint="eastAsia" w:ascii="宋体" w:hAnsi="宋体" w:eastAsia="宋体" w:cs="宋体"/>
                <w:kern w:val="0"/>
                <w:sz w:val="22"/>
              </w:rPr>
              <w:t>电化学发光法</w:t>
            </w:r>
          </w:p>
        </w:tc>
        <w:tc>
          <w:tcPr>
            <w:tcW w:w="1640" w:type="dxa"/>
            <w:tcBorders>
              <w:top w:val="nil"/>
              <w:left w:val="nil"/>
              <w:bottom w:val="single" w:color="auto" w:sz="4" w:space="0"/>
              <w:right w:val="single" w:color="auto" w:sz="4" w:space="0"/>
            </w:tcBorders>
            <w:shd w:val="clear" w:color="000000" w:fill="FFFFFF"/>
            <w:noWrap/>
            <w:vAlign w:val="bottom"/>
          </w:tcPr>
          <w:p w14:paraId="062F092D">
            <w:pPr>
              <w:widowControl/>
              <w:jc w:val="center"/>
              <w:rPr>
                <w:rFonts w:ascii="宋体" w:hAnsi="宋体" w:eastAsia="宋体" w:cs="宋体"/>
                <w:kern w:val="0"/>
                <w:sz w:val="22"/>
              </w:rPr>
            </w:pPr>
            <w:r>
              <w:rPr>
                <w:rFonts w:hint="eastAsia" w:ascii="宋体" w:hAnsi="宋体" w:eastAsia="宋体" w:cs="宋体"/>
                <w:kern w:val="0"/>
                <w:sz w:val="22"/>
              </w:rPr>
              <w:t>0.</w:t>
            </w:r>
            <w:r>
              <w:rPr>
                <w:rFonts w:hint="eastAsia" w:ascii="宋体" w:hAnsi="宋体" w:eastAsia="宋体" w:cs="宋体"/>
                <w:kern w:val="0"/>
                <w:sz w:val="22"/>
                <w:lang w:val="en-US" w:eastAsia="zh-CN"/>
              </w:rPr>
              <w:t>76</w:t>
            </w:r>
            <w:r>
              <w:rPr>
                <w:rFonts w:hint="eastAsia" w:ascii="宋体" w:hAnsi="宋体" w:eastAsia="宋体" w:cs="宋体"/>
                <w:kern w:val="0"/>
                <w:sz w:val="22"/>
              </w:rPr>
              <w:t>元/个</w:t>
            </w:r>
          </w:p>
        </w:tc>
        <w:tc>
          <w:tcPr>
            <w:tcW w:w="2440" w:type="dxa"/>
            <w:tcBorders>
              <w:top w:val="nil"/>
              <w:left w:val="nil"/>
              <w:bottom w:val="single" w:color="auto" w:sz="4" w:space="0"/>
              <w:right w:val="single" w:color="auto" w:sz="4" w:space="0"/>
            </w:tcBorders>
            <w:shd w:val="clear" w:color="000000" w:fill="FFFFFF"/>
            <w:noWrap/>
            <w:vAlign w:val="bottom"/>
          </w:tcPr>
          <w:p w14:paraId="1300774C">
            <w:pPr>
              <w:widowControl/>
              <w:jc w:val="center"/>
              <w:rPr>
                <w:rFonts w:ascii="宋体" w:hAnsi="宋体" w:eastAsia="宋体" w:cs="宋体"/>
                <w:kern w:val="0"/>
                <w:sz w:val="22"/>
              </w:rPr>
            </w:pPr>
            <w:r>
              <w:rPr>
                <w:rFonts w:hint="eastAsia" w:ascii="宋体" w:hAnsi="宋体" w:eastAsia="宋体" w:cs="宋体"/>
                <w:kern w:val="0"/>
                <w:sz w:val="22"/>
              </w:rPr>
              <w:t>适用于罗氏E601设备</w:t>
            </w:r>
          </w:p>
        </w:tc>
      </w:tr>
    </w:tbl>
    <w:p w14:paraId="2E705911">
      <w:pPr>
        <w:widowControl/>
        <w:jc w:val="left"/>
        <w:rPr>
          <w:rFonts w:cs="宋体" w:asciiTheme="minorEastAsia" w:hAnsiTheme="minorEastAsia"/>
          <w:bCs/>
          <w:color w:val="000000" w:themeColor="text1"/>
          <w:kern w:val="0"/>
          <w:sz w:val="24"/>
          <w:szCs w:val="24"/>
        </w:rPr>
      </w:pPr>
    </w:p>
    <w:p w14:paraId="0C3BE34B">
      <w:pPr>
        <w:widowControl/>
        <w:jc w:val="left"/>
        <w:rPr>
          <w:rFonts w:cs="宋体" w:asciiTheme="minorEastAsia" w:hAnsiTheme="minorEastAsia"/>
          <w:bCs/>
          <w:color w:val="000000" w:themeColor="text1"/>
          <w:kern w:val="0"/>
          <w:sz w:val="24"/>
          <w:szCs w:val="24"/>
        </w:rPr>
      </w:pPr>
    </w:p>
    <w:p w14:paraId="28737EA5">
      <w:pPr>
        <w:pStyle w:val="6"/>
        <w:shd w:val="clear" w:color="auto" w:fill="FFFFFF"/>
        <w:spacing w:before="0" w:beforeAutospacing="0" w:after="0" w:afterAutospacing="0"/>
        <w:rPr>
          <w:rFonts w:asciiTheme="minorEastAsia" w:hAnsiTheme="minorEastAsia" w:eastAsiaTheme="minorEastAsia"/>
          <w:color w:val="454545"/>
        </w:rPr>
      </w:pPr>
      <w:r>
        <w:rPr>
          <w:rFonts w:hint="eastAsia" w:cs="Calibri" w:asciiTheme="minorEastAsia" w:hAnsiTheme="minorEastAsia" w:eastAsiaTheme="minorEastAsia"/>
          <w:color w:val="333333"/>
        </w:rPr>
        <w:t>2</w:t>
      </w:r>
      <w:r>
        <w:rPr>
          <w:rFonts w:cs="Calibri" w:asciiTheme="minorEastAsia" w:hAnsiTheme="minorEastAsia" w:eastAsiaTheme="minorEastAsia"/>
          <w:color w:val="333333"/>
        </w:rPr>
        <w:t>.2</w:t>
      </w:r>
      <w:r>
        <w:rPr>
          <w:rFonts w:hint="eastAsia" w:asciiTheme="minorEastAsia" w:hAnsiTheme="minorEastAsia" w:eastAsiaTheme="minorEastAsia"/>
          <w:color w:val="454545"/>
        </w:rPr>
        <w:t>所投检验试剂</w:t>
      </w:r>
      <w:r>
        <w:rPr>
          <w:rFonts w:hint="eastAsia" w:asciiTheme="minorEastAsia" w:hAnsiTheme="minorEastAsia" w:eastAsiaTheme="minorEastAsia" w:cstheme="minorEastAsia"/>
          <w:szCs w:val="28"/>
        </w:rPr>
        <w:t>须具有有效的医疗器械注册证，且</w:t>
      </w:r>
      <w:r>
        <w:rPr>
          <w:rFonts w:hint="eastAsia" w:asciiTheme="minorEastAsia" w:hAnsiTheme="minorEastAsia" w:eastAsiaTheme="minorEastAsia"/>
          <w:color w:val="454545"/>
        </w:rPr>
        <w:t>是安徽省医药集中采购平台目录内产品，严格执行安徽省医药集中采购中心平台价格上传及网采有关要求，纳入两票制管理的检验试剂或耗材开具的发票（如有）应当符合国家相关规定和安徽省“两票制”相关要求。</w:t>
      </w:r>
    </w:p>
    <w:p w14:paraId="616C4944">
      <w:pPr>
        <w:widowControl/>
        <w:jc w:val="left"/>
        <w:rPr>
          <w:rFonts w:asciiTheme="minorEastAsia" w:hAnsiTheme="minorEastAsia"/>
          <w:sz w:val="24"/>
          <w:szCs w:val="24"/>
          <w:shd w:val="clear" w:color="auto" w:fill="FFFFFF"/>
        </w:rPr>
      </w:pPr>
      <w:r>
        <w:rPr>
          <w:rFonts w:hint="eastAsia" w:cs="Calibri" w:asciiTheme="minorEastAsia" w:hAnsiTheme="minorEastAsia"/>
          <w:kern w:val="0"/>
          <w:sz w:val="24"/>
          <w:szCs w:val="24"/>
        </w:rPr>
        <w:t>2.3</w:t>
      </w:r>
      <w:r>
        <w:rPr>
          <w:rFonts w:hint="eastAsia" w:asciiTheme="minorEastAsia" w:hAnsiTheme="minorEastAsia"/>
          <w:sz w:val="24"/>
          <w:szCs w:val="24"/>
          <w:shd w:val="clear" w:color="auto" w:fill="FFFFFF"/>
        </w:rPr>
        <w:t>中标人自行承担所有与试剂相关的定标液、校准品</w:t>
      </w:r>
      <w:r>
        <w:rPr>
          <w:rFonts w:hint="eastAsia" w:asciiTheme="minorEastAsia" w:hAnsiTheme="minorEastAsia"/>
          <w:sz w:val="24"/>
          <w:szCs w:val="24"/>
          <w:shd w:val="clear" w:color="auto" w:fill="FFFFFF"/>
          <w:lang w:eastAsia="zh-CN"/>
        </w:rPr>
        <w:t>、</w:t>
      </w:r>
      <w:r>
        <w:rPr>
          <w:rFonts w:hint="eastAsia" w:cs="宋体" w:asciiTheme="minorEastAsia" w:hAnsiTheme="minorEastAsia"/>
          <w:color w:val="000000" w:themeColor="text1"/>
          <w:kern w:val="0"/>
          <w:sz w:val="24"/>
          <w:szCs w:val="24"/>
        </w:rPr>
        <w:t>质控品、清洗液</w:t>
      </w:r>
      <w:r>
        <w:rPr>
          <w:rFonts w:hint="eastAsia" w:cs="宋体" w:asciiTheme="minorEastAsia" w:hAnsiTheme="minorEastAsia"/>
          <w:color w:val="000000" w:themeColor="text1"/>
          <w:kern w:val="0"/>
          <w:sz w:val="24"/>
          <w:szCs w:val="24"/>
          <w:lang w:eastAsia="zh-CN"/>
        </w:rPr>
        <w:t>且</w:t>
      </w:r>
      <w:r>
        <w:rPr>
          <w:rFonts w:hint="eastAsia" w:asciiTheme="minorEastAsia" w:hAnsiTheme="minorEastAsia"/>
          <w:sz w:val="24"/>
          <w:szCs w:val="24"/>
          <w:shd w:val="clear" w:color="auto" w:fill="FFFFFF"/>
        </w:rPr>
        <w:t>定标液、校准品</w:t>
      </w:r>
      <w:r>
        <w:rPr>
          <w:rFonts w:hint="eastAsia" w:asciiTheme="minorEastAsia" w:hAnsiTheme="minorEastAsia"/>
          <w:sz w:val="24"/>
          <w:szCs w:val="24"/>
          <w:shd w:val="clear" w:color="auto" w:fill="FFFFFF"/>
          <w:lang w:eastAsia="zh-CN"/>
        </w:rPr>
        <w:t>、</w:t>
      </w:r>
      <w:r>
        <w:rPr>
          <w:rFonts w:hint="eastAsia" w:cs="宋体" w:asciiTheme="minorEastAsia" w:hAnsiTheme="minorEastAsia"/>
          <w:color w:val="000000" w:themeColor="text1"/>
          <w:kern w:val="0"/>
          <w:sz w:val="24"/>
          <w:szCs w:val="24"/>
        </w:rPr>
        <w:t>质控品、清洗液</w:t>
      </w:r>
      <w:r>
        <w:rPr>
          <w:rFonts w:hint="eastAsia" w:asciiTheme="minorEastAsia" w:hAnsiTheme="minorEastAsia"/>
          <w:color w:val="000000" w:themeColor="text1"/>
          <w:sz w:val="24"/>
          <w:szCs w:val="24"/>
          <w:shd w:val="clear" w:color="auto" w:fill="FFFFFF"/>
        </w:rPr>
        <w:t>为原厂配套产品</w:t>
      </w:r>
      <w:r>
        <w:rPr>
          <w:rFonts w:hint="eastAsia" w:asciiTheme="minorEastAsia" w:hAnsiTheme="minorEastAsia"/>
          <w:color w:val="000000" w:themeColor="text1"/>
          <w:sz w:val="24"/>
          <w:szCs w:val="24"/>
          <w:shd w:val="clear" w:color="auto" w:fill="FFFFFF"/>
          <w:lang w:val="en-US" w:eastAsia="zh-CN"/>
        </w:rPr>
        <w:t>,</w:t>
      </w:r>
      <w:r>
        <w:rPr>
          <w:rFonts w:hint="eastAsia" w:asciiTheme="minorEastAsia" w:hAnsiTheme="minorEastAsia"/>
          <w:sz w:val="24"/>
          <w:szCs w:val="24"/>
          <w:shd w:val="clear" w:color="auto" w:fill="FFFFFF"/>
        </w:rPr>
        <w:t>该部分费用投标人投标时在配送产品综合单价中考虑，无需单独报价，中标后采购人不再另行支付费用。本项目配送品目如为带量采购谈判、价格联动成功的产品，则须选择带量采购目录内产品，并执行带量采购价格，须按带量价报价；配送品目如为带量采购目录外产品，则报价不得高于询价文件中列明的最高单价。</w:t>
      </w:r>
    </w:p>
    <w:p w14:paraId="7418F427">
      <w:pPr>
        <w:widowControl/>
        <w:jc w:val="left"/>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2.4如果省、市等有关管理部门对辖区内公立医院检验试剂实施集中招标，若本次中标价高于省、市该试剂（同品牌同规格）集中招标价，中标人必须无条件执行省、市集中招标价，低于该价格，按实际中标价执行。</w:t>
      </w:r>
    </w:p>
    <w:p w14:paraId="3241AFC0">
      <w:pPr>
        <w:widowControl/>
        <w:jc w:val="left"/>
        <w:rPr>
          <w:rFonts w:asciiTheme="minorEastAsia" w:hAnsiTheme="minorEastAsia"/>
          <w:sz w:val="24"/>
          <w:szCs w:val="24"/>
          <w:shd w:val="clear" w:color="auto" w:fill="FFFFFF"/>
        </w:rPr>
      </w:pPr>
      <w:r>
        <w:rPr>
          <w:rFonts w:hint="eastAsia" w:asciiTheme="minorEastAsia" w:hAnsiTheme="minorEastAsia"/>
          <w:sz w:val="24"/>
          <w:szCs w:val="24"/>
          <w:shd w:val="clear" w:color="auto" w:fill="FFFFFF"/>
        </w:rPr>
        <w:t>2.5如因本地医保收费价格调整，采购价按医保收费价格同比例下浮或重新招标。</w:t>
      </w:r>
    </w:p>
    <w:p w14:paraId="555AC073">
      <w:pPr>
        <w:widowControl/>
        <w:jc w:val="left"/>
        <w:rPr>
          <w:rFonts w:cs="Calibri" w:asciiTheme="minorEastAsia" w:hAnsiTheme="minorEastAsia"/>
          <w:kern w:val="0"/>
          <w:sz w:val="24"/>
          <w:szCs w:val="24"/>
        </w:rPr>
      </w:pPr>
      <w:r>
        <w:rPr>
          <w:rFonts w:hint="eastAsia" w:asciiTheme="minorEastAsia" w:hAnsiTheme="minorEastAsia"/>
          <w:sz w:val="24"/>
          <w:szCs w:val="24"/>
          <w:shd w:val="clear" w:color="auto" w:fill="FFFFFF"/>
        </w:rPr>
        <w:t>2.6如后期医院在该设备上新增项目参照此次每人份报价占安庆市收费标准最低比例执行。</w:t>
      </w:r>
    </w:p>
    <w:p w14:paraId="45832E25">
      <w:pPr>
        <w:widowControl/>
        <w:jc w:val="left"/>
        <w:rPr>
          <w:rFonts w:cs="宋体" w:asciiTheme="minorEastAsia" w:hAnsiTheme="minorEastAsia"/>
          <w:bCs/>
          <w:kern w:val="0"/>
          <w:sz w:val="24"/>
          <w:szCs w:val="24"/>
        </w:rPr>
      </w:pPr>
      <w:r>
        <w:rPr>
          <w:rFonts w:hint="eastAsia" w:cs="宋体" w:asciiTheme="minorEastAsia" w:hAnsiTheme="minorEastAsia"/>
          <w:kern w:val="0"/>
          <w:sz w:val="24"/>
          <w:szCs w:val="24"/>
        </w:rPr>
        <w:t>2.7项目地点</w:t>
      </w:r>
      <w:r>
        <w:rPr>
          <w:rFonts w:hint="eastAsia" w:cs="Calibri" w:asciiTheme="minorEastAsia" w:hAnsiTheme="minorEastAsia"/>
          <w:kern w:val="0"/>
          <w:sz w:val="24"/>
          <w:szCs w:val="24"/>
        </w:rPr>
        <w:t>：</w:t>
      </w:r>
      <w:r>
        <w:rPr>
          <w:rFonts w:hint="eastAsia" w:asciiTheme="minorEastAsia" w:hAnsiTheme="minorEastAsia"/>
          <w:sz w:val="24"/>
          <w:szCs w:val="24"/>
        </w:rPr>
        <w:t>太湖县妇幼保健院</w:t>
      </w:r>
    </w:p>
    <w:p w14:paraId="2D5406C3">
      <w:pPr>
        <w:widowControl/>
        <w:shd w:val="clear" w:color="auto" w:fill="FFFFFF"/>
        <w:jc w:val="left"/>
        <w:rPr>
          <w:rFonts w:cs="宋体" w:asciiTheme="minorEastAsia" w:hAnsiTheme="minorEastAsia"/>
          <w:kern w:val="0"/>
          <w:sz w:val="24"/>
          <w:szCs w:val="24"/>
        </w:rPr>
      </w:pPr>
      <w:r>
        <w:rPr>
          <w:rFonts w:hint="eastAsia" w:cs="Calibri" w:asciiTheme="minorEastAsia" w:hAnsiTheme="minorEastAsia"/>
          <w:kern w:val="0"/>
          <w:sz w:val="24"/>
          <w:szCs w:val="24"/>
        </w:rPr>
        <w:t>2</w:t>
      </w:r>
      <w:r>
        <w:rPr>
          <w:rFonts w:cs="Calibri" w:asciiTheme="minorEastAsia" w:hAnsiTheme="minorEastAsia"/>
          <w:kern w:val="0"/>
          <w:sz w:val="24"/>
          <w:szCs w:val="24"/>
        </w:rPr>
        <w:t>.</w:t>
      </w:r>
      <w:r>
        <w:rPr>
          <w:rFonts w:hint="eastAsia" w:cs="Calibri" w:asciiTheme="minorEastAsia" w:hAnsiTheme="minorEastAsia"/>
          <w:kern w:val="0"/>
          <w:sz w:val="24"/>
          <w:szCs w:val="24"/>
        </w:rPr>
        <w:t>8</w:t>
      </w:r>
      <w:r>
        <w:rPr>
          <w:rFonts w:hint="eastAsia" w:cs="宋体" w:asciiTheme="minorEastAsia" w:hAnsiTheme="minorEastAsia"/>
          <w:kern w:val="0"/>
          <w:sz w:val="24"/>
          <w:szCs w:val="24"/>
        </w:rPr>
        <w:t xml:space="preserve">采购范围：上述检验试剂及耗材采购、配送  </w:t>
      </w:r>
    </w:p>
    <w:p w14:paraId="40107B9E">
      <w:pPr>
        <w:widowControl/>
        <w:shd w:val="clear" w:color="auto" w:fill="FFFFFF"/>
        <w:jc w:val="left"/>
        <w:rPr>
          <w:rFonts w:asciiTheme="minorEastAsia" w:hAnsiTheme="minorEastAsia" w:cstheme="minorEastAsia"/>
          <w:bCs/>
          <w:sz w:val="24"/>
        </w:rPr>
      </w:pPr>
      <w:r>
        <w:rPr>
          <w:rFonts w:hint="eastAsia" w:asciiTheme="minorEastAsia" w:hAnsiTheme="minorEastAsia"/>
          <w:sz w:val="24"/>
          <w:szCs w:val="24"/>
          <w:shd w:val="clear" w:color="auto" w:fill="FDFEFF"/>
        </w:rPr>
        <w:t>2.9</w:t>
      </w:r>
      <w:r>
        <w:rPr>
          <w:rFonts w:hint="eastAsia" w:cs="宋体" w:asciiTheme="minorEastAsia" w:hAnsiTheme="minorEastAsia"/>
          <w:kern w:val="0"/>
          <w:sz w:val="24"/>
          <w:szCs w:val="24"/>
        </w:rPr>
        <w:t>服务期限:</w:t>
      </w:r>
      <w:r>
        <w:rPr>
          <w:rFonts w:hint="eastAsia" w:asciiTheme="minorEastAsia" w:hAnsiTheme="minorEastAsia" w:cstheme="minorEastAsia"/>
          <w:bCs/>
          <w:sz w:val="24"/>
        </w:rPr>
        <w:t>合同生</w:t>
      </w:r>
      <w:r>
        <w:rPr>
          <w:rFonts w:hint="eastAsia" w:asciiTheme="minorEastAsia" w:hAnsiTheme="minorEastAsia" w:cstheme="minorEastAsia"/>
          <w:bCs/>
          <w:color w:val="auto"/>
          <w:sz w:val="24"/>
        </w:rPr>
        <w:t>效后</w:t>
      </w:r>
      <w:r>
        <w:rPr>
          <w:rFonts w:hint="eastAsia" w:asciiTheme="minorEastAsia" w:hAnsiTheme="minorEastAsia" w:cstheme="minorEastAsia"/>
          <w:bCs/>
          <w:color w:val="auto"/>
          <w:sz w:val="24"/>
          <w:lang w:val="en-US" w:eastAsia="zh-CN"/>
        </w:rPr>
        <w:t>1</w:t>
      </w:r>
      <w:r>
        <w:rPr>
          <w:rFonts w:hint="eastAsia" w:asciiTheme="minorEastAsia" w:hAnsiTheme="minorEastAsia" w:cstheme="minorEastAsia"/>
          <w:bCs/>
          <w:color w:val="auto"/>
          <w:sz w:val="24"/>
        </w:rPr>
        <w:t>年</w:t>
      </w:r>
      <w:r>
        <w:rPr>
          <w:rFonts w:hint="eastAsia" w:asciiTheme="minorEastAsia" w:hAnsiTheme="minorEastAsia" w:cstheme="minorEastAsia"/>
          <w:bCs/>
          <w:sz w:val="24"/>
        </w:rPr>
        <w:t>内按采购人要求供货，每批货物接采购人通知后，按采购人要求在3个工作日内完成供货。</w:t>
      </w:r>
      <w:r>
        <w:rPr>
          <w:rFonts w:hint="eastAsia" w:asciiTheme="minorEastAsia" w:hAnsiTheme="minorEastAsia"/>
          <w:sz w:val="24"/>
          <w:szCs w:val="24"/>
        </w:rPr>
        <w:t>紧急采购计划保证随时供货，确保临床使用需求。</w:t>
      </w:r>
    </w:p>
    <w:p w14:paraId="0271B907">
      <w:pPr>
        <w:widowControl/>
        <w:shd w:val="clear" w:color="auto" w:fill="FFFFFF"/>
        <w:jc w:val="left"/>
        <w:rPr>
          <w:rFonts w:asciiTheme="minorEastAsia" w:hAnsiTheme="minorEastAsia"/>
          <w:color w:val="333333"/>
          <w:sz w:val="24"/>
          <w:szCs w:val="24"/>
        </w:rPr>
      </w:pPr>
      <w:r>
        <w:rPr>
          <w:rFonts w:hint="eastAsia"/>
          <w:color w:val="454545"/>
        </w:rPr>
        <w:t>三、</w:t>
      </w:r>
      <w:r>
        <w:rPr>
          <w:rFonts w:hint="eastAsia" w:asciiTheme="minorEastAsia" w:hAnsiTheme="minorEastAsia"/>
          <w:color w:val="333333"/>
          <w:sz w:val="24"/>
          <w:szCs w:val="24"/>
        </w:rPr>
        <w:t>供应商资格</w:t>
      </w:r>
    </w:p>
    <w:p w14:paraId="1CDA818A">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3.1符合《中华人民共和国政府采购法》第二十二条规定，在中华人民共和国境内注册的具有独立法人资格的供应商，</w:t>
      </w:r>
      <w:r>
        <w:rPr>
          <w:rFonts w:hint="eastAsia" w:cs="宋体" w:asciiTheme="minorEastAsia" w:hAnsiTheme="minorEastAsia"/>
          <w:color w:val="454545"/>
          <w:kern w:val="0"/>
          <w:sz w:val="24"/>
          <w:szCs w:val="24"/>
        </w:rPr>
        <w:t>且生产经营范围符合本次采购需求；</w:t>
      </w:r>
    </w:p>
    <w:p w14:paraId="65AB797C">
      <w:pPr>
        <w:shd w:val="clear" w:color="auto" w:fill="FFFFFF" w:themeFill="background1"/>
        <w:ind w:firstLine="480"/>
        <w:rPr>
          <w:rFonts w:asciiTheme="minorEastAsia" w:hAnsiTheme="minorEastAsia"/>
          <w:sz w:val="24"/>
          <w:szCs w:val="24"/>
        </w:rPr>
      </w:pPr>
      <w:r>
        <w:rPr>
          <w:rFonts w:hint="eastAsia" w:asciiTheme="minorEastAsia" w:hAnsiTheme="minorEastAsia"/>
          <w:color w:val="333333"/>
          <w:sz w:val="24"/>
          <w:szCs w:val="24"/>
        </w:rPr>
        <w:t>3.2供应商如为生产厂家，应具备通过年检的《医疗器械经营许可证》、《医疗器械生产许可证》（须</w:t>
      </w:r>
      <w:r>
        <w:rPr>
          <w:rFonts w:hint="eastAsia" w:asciiTheme="minorEastAsia" w:hAnsiTheme="minorEastAsia"/>
          <w:sz w:val="24"/>
          <w:szCs w:val="24"/>
        </w:rPr>
        <w:t>在有效期内）；如为代理商或经销商投标，应具有通过年检的《医疗器械经营许可证》(或备案凭证)；</w:t>
      </w:r>
    </w:p>
    <w:p w14:paraId="5C43B03D">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3.3供应商未被列入“信用中国、中国政府采购网”政府采购严重违法失信名单（查询网址：</w:t>
      </w:r>
      <w:r>
        <w:fldChar w:fldCharType="begin"/>
      </w:r>
      <w:r>
        <w:instrText xml:space="preserve"> HYPERLINK "qq://txfile/" </w:instrText>
      </w:r>
      <w:r>
        <w:fldChar w:fldCharType="separate"/>
      </w:r>
      <w:r>
        <w:rPr>
          <w:rStyle w:val="11"/>
          <w:rFonts w:hint="eastAsia" w:asciiTheme="minorEastAsia" w:hAnsiTheme="minorEastAsia"/>
          <w:color w:val="auto"/>
          <w:sz w:val="24"/>
          <w:szCs w:val="24"/>
        </w:rPr>
        <w:t>http://www.creditchina.gov.cn/</w:t>
      </w:r>
      <w:r>
        <w:rPr>
          <w:rStyle w:val="11"/>
          <w:rFonts w:hint="eastAsia" w:asciiTheme="minorEastAsia" w:hAnsiTheme="minorEastAsia"/>
          <w:color w:val="auto"/>
          <w:sz w:val="24"/>
          <w:szCs w:val="24"/>
        </w:rPr>
        <w:fldChar w:fldCharType="end"/>
      </w:r>
      <w:r>
        <w:rPr>
          <w:rFonts w:hint="eastAsia" w:asciiTheme="minorEastAsia" w:hAnsiTheme="minorEastAsia"/>
          <w:sz w:val="24"/>
          <w:szCs w:val="24"/>
        </w:rPr>
        <w:t>、</w:t>
      </w:r>
      <w:r>
        <w:fldChar w:fldCharType="begin"/>
      </w:r>
      <w:r>
        <w:instrText xml:space="preserve"> HYPERLINK "qq://txfile/" </w:instrText>
      </w:r>
      <w:r>
        <w:fldChar w:fldCharType="separate"/>
      </w:r>
      <w:r>
        <w:rPr>
          <w:rStyle w:val="11"/>
          <w:rFonts w:hint="eastAsia" w:asciiTheme="minorEastAsia" w:hAnsiTheme="minorEastAsia"/>
          <w:color w:val="auto"/>
          <w:sz w:val="24"/>
          <w:szCs w:val="24"/>
        </w:rPr>
        <w:t>http://www.ccgp.gov.cn/</w:t>
      </w:r>
      <w:r>
        <w:rPr>
          <w:rStyle w:val="11"/>
          <w:rFonts w:hint="eastAsia" w:asciiTheme="minorEastAsia" w:hAnsiTheme="minorEastAsia"/>
          <w:color w:val="auto"/>
          <w:sz w:val="24"/>
          <w:szCs w:val="24"/>
        </w:rPr>
        <w:fldChar w:fldCharType="end"/>
      </w:r>
      <w:r>
        <w:rPr>
          <w:rFonts w:hint="eastAsia" w:asciiTheme="minorEastAsia" w:hAnsiTheme="minorEastAsia"/>
          <w:sz w:val="24"/>
          <w:szCs w:val="24"/>
        </w:rPr>
        <w:t>）；</w:t>
      </w:r>
    </w:p>
    <w:p w14:paraId="0B7314C8">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3.4本次招标不接受联合体投标。</w:t>
      </w:r>
    </w:p>
    <w:p w14:paraId="435451D3">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四、递交报价文件的时间和地点</w:t>
      </w:r>
    </w:p>
    <w:p w14:paraId="70B61E4F">
      <w:pPr>
        <w:shd w:val="clear" w:color="auto" w:fill="FFFFFF" w:themeFill="background1"/>
        <w:ind w:firstLine="480"/>
        <w:rPr>
          <w:rFonts w:asciiTheme="minorEastAsia" w:hAnsiTheme="minorEastAsia"/>
          <w:color w:val="auto"/>
          <w:sz w:val="24"/>
          <w:szCs w:val="24"/>
        </w:rPr>
      </w:pPr>
      <w:bookmarkStart w:id="0" w:name="_Toc296602407"/>
      <w:bookmarkEnd w:id="0"/>
      <w:bookmarkStart w:id="1" w:name="_Toc387685108"/>
      <w:bookmarkEnd w:id="1"/>
      <w:bookmarkStart w:id="2" w:name="_Toc387517895"/>
      <w:bookmarkEnd w:id="2"/>
      <w:bookmarkStart w:id="3" w:name="_Toc387612736"/>
      <w:bookmarkEnd w:id="3"/>
      <w:bookmarkStart w:id="4" w:name="_Toc247085677"/>
      <w:bookmarkEnd w:id="4"/>
      <w:bookmarkStart w:id="5" w:name="_Toc157499355"/>
      <w:bookmarkEnd w:id="5"/>
      <w:bookmarkStart w:id="6" w:name="_Toc387522872"/>
      <w:bookmarkEnd w:id="6"/>
      <w:bookmarkStart w:id="7" w:name="_Toc387518235"/>
      <w:bookmarkEnd w:id="7"/>
      <w:bookmarkStart w:id="8" w:name="_Toc387522600"/>
      <w:bookmarkEnd w:id="8"/>
      <w:bookmarkStart w:id="9" w:name="_Toc179632533"/>
      <w:bookmarkEnd w:id="9"/>
      <w:bookmarkStart w:id="10" w:name="_Toc246996163"/>
      <w:bookmarkEnd w:id="10"/>
      <w:bookmarkStart w:id="11" w:name="_Toc387611253"/>
      <w:bookmarkEnd w:id="11"/>
      <w:bookmarkStart w:id="12" w:name="_Toc387521074"/>
      <w:bookmarkEnd w:id="12"/>
      <w:bookmarkStart w:id="13" w:name="_Toc387606409"/>
      <w:bookmarkEnd w:id="13"/>
      <w:bookmarkStart w:id="14" w:name="_Toc387701180"/>
      <w:bookmarkEnd w:id="14"/>
      <w:bookmarkStart w:id="15" w:name="_Toc387701278"/>
      <w:bookmarkEnd w:id="15"/>
      <w:bookmarkStart w:id="16" w:name="_Toc387520915"/>
      <w:bookmarkEnd w:id="16"/>
      <w:bookmarkStart w:id="17" w:name="_Toc246996906"/>
      <w:bookmarkEnd w:id="17"/>
      <w:bookmarkStart w:id="18" w:name="_Toc387605736"/>
      <w:r>
        <w:rPr>
          <w:rFonts w:hint="eastAsia" w:asciiTheme="minorEastAsia" w:hAnsiTheme="minorEastAsia"/>
          <w:sz w:val="24"/>
          <w:szCs w:val="24"/>
        </w:rPr>
        <w:t>递交报价文件的截止时间</w:t>
      </w:r>
      <w:r>
        <w:rPr>
          <w:rFonts w:hint="eastAsia" w:asciiTheme="minorEastAsia" w:hAnsiTheme="minorEastAsia"/>
          <w:color w:val="auto"/>
          <w:sz w:val="24"/>
          <w:szCs w:val="24"/>
        </w:rPr>
        <w:t>：202</w:t>
      </w: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年</w:t>
      </w: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月</w:t>
      </w:r>
      <w:r>
        <w:rPr>
          <w:rFonts w:hint="eastAsia" w:asciiTheme="minorEastAsia" w:hAnsiTheme="minorEastAsia"/>
          <w:color w:val="auto"/>
          <w:sz w:val="24"/>
          <w:szCs w:val="24"/>
          <w:lang w:val="en-US" w:eastAsia="zh-CN"/>
        </w:rPr>
        <w:t>16</w:t>
      </w:r>
      <w:r>
        <w:rPr>
          <w:rFonts w:hint="eastAsia" w:asciiTheme="minorEastAsia" w:hAnsiTheme="minorEastAsia"/>
          <w:color w:val="auto"/>
          <w:sz w:val="24"/>
          <w:szCs w:val="24"/>
        </w:rPr>
        <w:t>日</w:t>
      </w:r>
      <w:r>
        <w:rPr>
          <w:rFonts w:hint="eastAsia" w:asciiTheme="minorEastAsia" w:hAnsiTheme="minorEastAsia"/>
          <w:color w:val="auto"/>
          <w:sz w:val="24"/>
          <w:szCs w:val="24"/>
          <w:lang w:val="en-US" w:eastAsia="zh-CN"/>
        </w:rPr>
        <w:t>16</w:t>
      </w:r>
      <w:r>
        <w:rPr>
          <w:rFonts w:hint="eastAsia" w:asciiTheme="minorEastAsia" w:hAnsiTheme="minorEastAsia"/>
          <w:color w:val="auto"/>
          <w:sz w:val="24"/>
          <w:szCs w:val="24"/>
        </w:rPr>
        <w:t>时</w:t>
      </w:r>
      <w:r>
        <w:rPr>
          <w:rFonts w:hint="eastAsia" w:asciiTheme="minorEastAsia" w:hAnsiTheme="minorEastAsia"/>
          <w:color w:val="auto"/>
          <w:sz w:val="24"/>
          <w:szCs w:val="24"/>
          <w:lang w:val="en-US" w:eastAsia="zh-CN"/>
        </w:rPr>
        <w:t>0</w:t>
      </w:r>
      <w:r>
        <w:rPr>
          <w:rFonts w:hint="eastAsia" w:asciiTheme="minorEastAsia" w:hAnsiTheme="minorEastAsia"/>
          <w:color w:val="auto"/>
          <w:sz w:val="24"/>
          <w:szCs w:val="24"/>
        </w:rPr>
        <w:t>0分。</w:t>
      </w:r>
      <w:bookmarkEnd w:id="18"/>
    </w:p>
    <w:p w14:paraId="4DBA9D1C">
      <w:pPr>
        <w:shd w:val="clear" w:color="auto" w:fill="FFFFFF" w:themeFill="background1"/>
        <w:ind w:firstLine="480"/>
        <w:rPr>
          <w:rFonts w:asciiTheme="minorEastAsia" w:hAnsiTheme="minorEastAsia"/>
          <w:sz w:val="24"/>
          <w:szCs w:val="24"/>
        </w:rPr>
      </w:pPr>
      <w:r>
        <w:rPr>
          <w:rFonts w:hint="eastAsia" w:asciiTheme="minorEastAsia" w:hAnsiTheme="minorEastAsia"/>
          <w:sz w:val="24"/>
          <w:szCs w:val="24"/>
        </w:rPr>
        <w:t>地点：太湖县妇幼保健院六楼会议室</w:t>
      </w:r>
    </w:p>
    <w:p w14:paraId="1DFDB73F">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五、本项目报价活动定于</w:t>
      </w: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4</w:t>
      </w:r>
      <w:r>
        <w:rPr>
          <w:rFonts w:hint="eastAsia" w:asciiTheme="minorEastAsia" w:hAnsiTheme="minorEastAsia"/>
          <w:sz w:val="24"/>
          <w:szCs w:val="24"/>
        </w:rPr>
        <w:t>月</w:t>
      </w:r>
      <w:r>
        <w:rPr>
          <w:rFonts w:hint="eastAsia" w:asciiTheme="minorEastAsia" w:hAnsiTheme="minorEastAsia"/>
          <w:sz w:val="24"/>
          <w:szCs w:val="24"/>
          <w:lang w:val="en-US" w:eastAsia="zh-CN"/>
        </w:rPr>
        <w:t>16</w:t>
      </w:r>
      <w:r>
        <w:rPr>
          <w:rFonts w:hint="eastAsia" w:asciiTheme="minorEastAsia" w:hAnsiTheme="minorEastAsia"/>
          <w:sz w:val="24"/>
          <w:szCs w:val="24"/>
        </w:rPr>
        <w:t>日1</w:t>
      </w:r>
      <w:r>
        <w:rPr>
          <w:rFonts w:hint="eastAsia" w:asciiTheme="minorEastAsia" w:hAnsiTheme="minorEastAsia"/>
          <w:sz w:val="24"/>
          <w:szCs w:val="24"/>
          <w:lang w:val="en-US" w:eastAsia="zh-CN"/>
        </w:rPr>
        <w:t>6</w:t>
      </w:r>
      <w:r>
        <w:rPr>
          <w:rFonts w:hint="eastAsia" w:asciiTheme="minorEastAsia" w:hAnsiTheme="minorEastAsia"/>
          <w:sz w:val="24"/>
          <w:szCs w:val="24"/>
        </w:rPr>
        <w:t>时00分</w:t>
      </w:r>
      <w:r>
        <w:rPr>
          <w:rFonts w:hint="eastAsia" w:asciiTheme="minorEastAsia" w:hAnsiTheme="minorEastAsia"/>
          <w:color w:val="333333"/>
          <w:sz w:val="24"/>
          <w:szCs w:val="24"/>
        </w:rPr>
        <w:t>在太湖县妇幼保健院六楼会议室举行。请于</w:t>
      </w:r>
      <w:r>
        <w:rPr>
          <w:rFonts w:hint="eastAsia" w:asciiTheme="minorEastAsia" w:hAnsiTheme="minorEastAsia"/>
          <w:sz w:val="24"/>
          <w:szCs w:val="24"/>
        </w:rPr>
        <w:t>202</w:t>
      </w:r>
      <w:r>
        <w:rPr>
          <w:rFonts w:hint="eastAsia" w:asciiTheme="minorEastAsia" w:hAnsiTheme="minorEastAsia"/>
          <w:sz w:val="24"/>
          <w:szCs w:val="24"/>
          <w:lang w:val="en-US" w:eastAsia="zh-CN"/>
        </w:rPr>
        <w:t>5</w:t>
      </w:r>
      <w:r>
        <w:rPr>
          <w:rFonts w:hint="eastAsia" w:asciiTheme="minorEastAsia" w:hAnsiTheme="minorEastAsia"/>
          <w:sz w:val="24"/>
          <w:szCs w:val="24"/>
        </w:rPr>
        <w:t>年</w:t>
      </w:r>
      <w:r>
        <w:rPr>
          <w:rFonts w:hint="eastAsia" w:asciiTheme="minorEastAsia" w:hAnsiTheme="minorEastAsia"/>
          <w:sz w:val="24"/>
          <w:szCs w:val="24"/>
          <w:lang w:val="en-US" w:eastAsia="zh-CN"/>
        </w:rPr>
        <w:t>4</w:t>
      </w:r>
      <w:r>
        <w:rPr>
          <w:rFonts w:hint="eastAsia" w:asciiTheme="minorEastAsia" w:hAnsiTheme="minorEastAsia"/>
          <w:sz w:val="24"/>
          <w:szCs w:val="24"/>
        </w:rPr>
        <w:t>月</w:t>
      </w:r>
      <w:r>
        <w:rPr>
          <w:rFonts w:hint="eastAsia" w:asciiTheme="minorEastAsia" w:hAnsiTheme="minorEastAsia"/>
          <w:sz w:val="24"/>
          <w:szCs w:val="24"/>
          <w:lang w:val="en-US" w:eastAsia="zh-CN"/>
        </w:rPr>
        <w:t>16</w:t>
      </w:r>
      <w:r>
        <w:rPr>
          <w:rFonts w:hint="eastAsia" w:asciiTheme="minorEastAsia" w:hAnsiTheme="minorEastAsia"/>
          <w:sz w:val="24"/>
          <w:szCs w:val="24"/>
        </w:rPr>
        <w:t>日1</w:t>
      </w:r>
      <w:r>
        <w:rPr>
          <w:rFonts w:hint="eastAsia" w:asciiTheme="minorEastAsia" w:hAnsiTheme="minorEastAsia"/>
          <w:sz w:val="24"/>
          <w:szCs w:val="24"/>
          <w:lang w:val="en-US" w:eastAsia="zh-CN"/>
        </w:rPr>
        <w:t>6</w:t>
      </w:r>
      <w:r>
        <w:rPr>
          <w:rFonts w:hint="eastAsia" w:asciiTheme="minorEastAsia" w:hAnsiTheme="minorEastAsia"/>
          <w:sz w:val="24"/>
          <w:szCs w:val="24"/>
        </w:rPr>
        <w:t>时00分</w:t>
      </w:r>
      <w:r>
        <w:rPr>
          <w:rFonts w:hint="eastAsia" w:asciiTheme="minorEastAsia" w:hAnsiTheme="minorEastAsia"/>
          <w:color w:val="333333"/>
          <w:sz w:val="24"/>
          <w:szCs w:val="24"/>
        </w:rPr>
        <w:t>前密封递交报价文件，在此时间后送达的或未送达指定地点的报价文件将不予接受。</w:t>
      </w:r>
    </w:p>
    <w:p w14:paraId="08B82DD3">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投标人可以将投标文件邮寄或送达采购人。开标结果在太湖县妇幼保健院网址公示。</w:t>
      </w:r>
    </w:p>
    <w:p w14:paraId="3D195650">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六、供应商在递交报价函截止时间后，本项目报价函即不可撤回。否则，该供应商在今后一年内不得参与太湖县妇幼保健院的所有采购活动。</w:t>
      </w:r>
    </w:p>
    <w:p w14:paraId="6A2C7918">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七、成交原则</w:t>
      </w:r>
    </w:p>
    <w:p w14:paraId="2907A14A">
      <w:pPr>
        <w:widowControl/>
        <w:shd w:val="clear" w:color="auto" w:fill="FFFFFF"/>
        <w:jc w:val="left"/>
        <w:rPr>
          <w:rFonts w:asciiTheme="minorEastAsia" w:hAnsiTheme="minorEastAsia"/>
          <w:color w:val="333333"/>
          <w:sz w:val="24"/>
          <w:szCs w:val="24"/>
        </w:rPr>
      </w:pPr>
      <w:r>
        <w:rPr>
          <w:rFonts w:hint="eastAsia" w:asciiTheme="minorEastAsia" w:hAnsiTheme="minorEastAsia"/>
          <w:color w:val="333333"/>
          <w:sz w:val="24"/>
          <w:szCs w:val="24"/>
        </w:rPr>
        <w:t>7.1在符合采购需求、质量和服务的前提下，询价小组确定最低报价的供应商作为成交供应商；若出现两家或两家以上报价最低且相等时，则由询价小组现场以二次报价方式确定成交供应商。供应商报价和承诺一经认可，即为成交的合同价。</w:t>
      </w:r>
    </w:p>
    <w:p w14:paraId="749752CF">
      <w:pPr>
        <w:widowControl/>
        <w:shd w:val="clear" w:color="auto" w:fill="FFFFFF"/>
        <w:jc w:val="left"/>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7.2若供应商在中标后不能按时履行质量和服务承诺，则一年内禁止其参与医院所有医疗设备及耗材的采购活动。</w:t>
      </w:r>
    </w:p>
    <w:p w14:paraId="5E0B5DFA">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八、其他事项</w:t>
      </w:r>
    </w:p>
    <w:p w14:paraId="33704C70">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8.1供应商只允许有一个方案，一次性书面报价（必须同时报单价和总价）。多方案、多报价的将不被接受。此报价包括但不限于货物的全部价款、税费、运输、装卸、安装、调试、技术指导、咨询、检测等验收合格交付使用之前发生的所有费用以及技术和售后服务等其他各项与之有关所有费用。报价超过本次采购预算价的为无效报价。</w:t>
      </w:r>
    </w:p>
    <w:p w14:paraId="41F5C032">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8.2供应商应就采购人清单的技术支持与售后服务做出书面承诺。</w:t>
      </w:r>
    </w:p>
    <w:p w14:paraId="48BC2625">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8.3供应商所报价产品必须符合本次采购要求，所供产品必须符合国家和行业有关标准，保证原厂正品供货，提供相关资料。</w:t>
      </w:r>
    </w:p>
    <w:p w14:paraId="3E9083C0">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8.4报价函封面及封袋应写明：项目名称、供应商名称、日期。</w:t>
      </w:r>
    </w:p>
    <w:p w14:paraId="5733EE85">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8.5报价函</w:t>
      </w:r>
      <w:r>
        <w:rPr>
          <w:rFonts w:hint="eastAsia" w:cs="宋体" w:asciiTheme="minorEastAsia" w:hAnsiTheme="minorEastAsia"/>
          <w:color w:val="454545"/>
          <w:kern w:val="0"/>
          <w:sz w:val="24"/>
          <w:szCs w:val="24"/>
        </w:rPr>
        <w:t>（包括耗材名称、规格、产地、报价等内容，报价需低于最高限价，最高限价详见附件一）、产品注册证、注册登记表</w:t>
      </w:r>
      <w:r>
        <w:rPr>
          <w:rFonts w:hint="eastAsia" w:asciiTheme="minorEastAsia" w:hAnsiTheme="minorEastAsia"/>
          <w:color w:val="333333"/>
          <w:sz w:val="24"/>
          <w:szCs w:val="24"/>
        </w:rPr>
        <w:t>及相关文件（营业执照、税务登记证、资质证书、法人委托书、法人身份证复印件、业务员身份证复印件等供应商认为需要提供的其他资料），采用装订成册，一式二份，正本一份，副本一份，合并于一个包装袋内，包装密封，且在密封处加盖单位公章。</w:t>
      </w:r>
    </w:p>
    <w:p w14:paraId="1C29D068">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8.6供应商报价函必须加盖单位公章，且法定代表人签字或盖章。</w:t>
      </w:r>
    </w:p>
    <w:p w14:paraId="1823EA7F">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8.7不符合询价公告要求的报价函为无效报价函。</w:t>
      </w:r>
    </w:p>
    <w:p w14:paraId="6824A82D">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九、供货地点：太湖县妇幼保健院或医院指定地点。</w:t>
      </w:r>
    </w:p>
    <w:p w14:paraId="4F69C569">
      <w:pPr>
        <w:shd w:val="clear" w:color="auto" w:fill="FFFFFF" w:themeFill="background1"/>
        <w:rPr>
          <w:rFonts w:asciiTheme="minorEastAsia" w:hAnsiTheme="minorEastAsia"/>
          <w:color w:val="333333"/>
          <w:sz w:val="24"/>
          <w:szCs w:val="24"/>
          <w:shd w:val="clear" w:color="auto" w:fill="FFFFFF"/>
        </w:rPr>
      </w:pPr>
      <w:r>
        <w:rPr>
          <w:rFonts w:hint="eastAsia" w:asciiTheme="minorEastAsia" w:hAnsiTheme="minorEastAsia"/>
          <w:color w:val="333333"/>
          <w:sz w:val="24"/>
          <w:szCs w:val="24"/>
        </w:rPr>
        <w:t>十、付款方式：</w:t>
      </w:r>
      <w:r>
        <w:rPr>
          <w:rFonts w:hint="eastAsia" w:asciiTheme="minorEastAsia" w:hAnsiTheme="minorEastAsia" w:cstheme="minorEastAsia"/>
          <w:bCs/>
          <w:sz w:val="24"/>
        </w:rPr>
        <w:t>合同签订后，根据每个月的实际供货量及成交价据实结算。</w:t>
      </w:r>
    </w:p>
    <w:p w14:paraId="1C4F23F7">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十一、合同主要条款见附件二</w:t>
      </w:r>
    </w:p>
    <w:p w14:paraId="7D10895B">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十二、联系方式</w:t>
      </w:r>
    </w:p>
    <w:p w14:paraId="44A6DFED">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采 购 人：太湖县妇幼保健院</w:t>
      </w:r>
    </w:p>
    <w:p w14:paraId="7C881CE3">
      <w:pPr>
        <w:shd w:val="clear" w:color="auto" w:fill="FFFFFF" w:themeFill="background1"/>
        <w:ind w:firstLine="480"/>
        <w:rPr>
          <w:rFonts w:asciiTheme="minorEastAsia" w:hAnsiTheme="minorEastAsia"/>
          <w:color w:val="333333"/>
          <w:sz w:val="24"/>
          <w:szCs w:val="24"/>
        </w:rPr>
      </w:pPr>
      <w:r>
        <w:rPr>
          <w:rFonts w:hint="eastAsia" w:asciiTheme="minorEastAsia" w:hAnsiTheme="minorEastAsia"/>
          <w:color w:val="333333"/>
          <w:sz w:val="24"/>
          <w:szCs w:val="24"/>
        </w:rPr>
        <w:t>联系人：</w:t>
      </w:r>
      <w:r>
        <w:rPr>
          <w:rFonts w:hint="eastAsia" w:asciiTheme="minorEastAsia" w:hAnsiTheme="minorEastAsia"/>
          <w:color w:val="333333"/>
          <w:sz w:val="24"/>
          <w:szCs w:val="24"/>
          <w:lang w:eastAsia="zh-CN"/>
        </w:rPr>
        <w:t>王</w:t>
      </w:r>
      <w:r>
        <w:rPr>
          <w:rFonts w:hint="eastAsia" w:asciiTheme="minorEastAsia" w:hAnsiTheme="minorEastAsia"/>
          <w:color w:val="333333"/>
          <w:sz w:val="24"/>
          <w:szCs w:val="24"/>
        </w:rPr>
        <w:t>女士               联系电话：0556-4161239</w:t>
      </w:r>
    </w:p>
    <w:p w14:paraId="7AD38A49">
      <w:pPr>
        <w:shd w:val="clear" w:color="auto" w:fill="FFFFFF" w:themeFill="background1"/>
        <w:rPr>
          <w:rFonts w:asciiTheme="minorEastAsia" w:hAnsiTheme="minorEastAsia"/>
          <w:color w:val="333333"/>
          <w:sz w:val="24"/>
          <w:szCs w:val="24"/>
        </w:rPr>
      </w:pPr>
      <w:r>
        <w:rPr>
          <w:rFonts w:hint="eastAsia" w:asciiTheme="minorEastAsia" w:hAnsiTheme="minorEastAsia"/>
          <w:color w:val="333333"/>
          <w:sz w:val="24"/>
          <w:szCs w:val="24"/>
        </w:rPr>
        <w:t>                  202</w:t>
      </w:r>
      <w:r>
        <w:rPr>
          <w:rFonts w:hint="eastAsia" w:asciiTheme="minorEastAsia" w:hAnsiTheme="minorEastAsia"/>
          <w:color w:val="333333"/>
          <w:sz w:val="24"/>
          <w:szCs w:val="24"/>
          <w:lang w:val="en-US" w:eastAsia="zh-CN"/>
        </w:rPr>
        <w:t>5</w:t>
      </w:r>
      <w:r>
        <w:rPr>
          <w:rFonts w:hint="eastAsia" w:asciiTheme="minorEastAsia" w:hAnsiTheme="minorEastAsia"/>
          <w:color w:val="333333"/>
          <w:sz w:val="24"/>
          <w:szCs w:val="24"/>
        </w:rPr>
        <w:t>年</w:t>
      </w:r>
      <w:r>
        <w:rPr>
          <w:rFonts w:hint="eastAsia" w:asciiTheme="minorEastAsia" w:hAnsiTheme="minorEastAsia"/>
          <w:color w:val="333333"/>
          <w:sz w:val="24"/>
          <w:szCs w:val="24"/>
          <w:lang w:val="en-US" w:eastAsia="zh-CN"/>
        </w:rPr>
        <w:t xml:space="preserve"> 4</w:t>
      </w:r>
      <w:r>
        <w:rPr>
          <w:rFonts w:hint="eastAsia" w:asciiTheme="minorEastAsia" w:hAnsiTheme="minorEastAsia"/>
          <w:color w:val="333333"/>
          <w:sz w:val="24"/>
          <w:szCs w:val="24"/>
        </w:rPr>
        <w:t>月</w:t>
      </w:r>
      <w:r>
        <w:rPr>
          <w:rFonts w:hint="eastAsia" w:asciiTheme="minorEastAsia" w:hAnsiTheme="minorEastAsia"/>
          <w:color w:val="333333"/>
          <w:sz w:val="24"/>
          <w:szCs w:val="24"/>
          <w:lang w:val="en-US" w:eastAsia="zh-CN"/>
        </w:rPr>
        <w:t>10</w:t>
      </w:r>
      <w:r>
        <w:rPr>
          <w:rFonts w:hint="eastAsia" w:asciiTheme="minorEastAsia" w:hAnsiTheme="minorEastAsia"/>
          <w:color w:val="333333"/>
          <w:sz w:val="24"/>
          <w:szCs w:val="24"/>
        </w:rPr>
        <w:t>日</w:t>
      </w:r>
    </w:p>
    <w:p w14:paraId="6841BC93">
      <w:pPr>
        <w:shd w:val="clear" w:color="auto" w:fill="FFFFFF" w:themeFill="background1"/>
        <w:spacing w:line="600" w:lineRule="atLeast"/>
        <w:ind w:firstLine="2530" w:firstLineChars="1200"/>
        <w:rPr>
          <w:rFonts w:asciiTheme="minorEastAsia" w:hAnsiTheme="minorEastAsia"/>
          <w:color w:val="333333"/>
          <w:sz w:val="18"/>
          <w:szCs w:val="18"/>
        </w:rPr>
      </w:pPr>
      <w:r>
        <w:rPr>
          <w:rFonts w:hint="eastAsia" w:asciiTheme="minorEastAsia" w:hAnsiTheme="minorEastAsia"/>
          <w:b/>
          <w:bCs/>
          <w:color w:val="333333"/>
        </w:rPr>
        <w:t>询价采购供应商报价函</w:t>
      </w:r>
    </w:p>
    <w:p w14:paraId="1447BE86">
      <w:pPr>
        <w:shd w:val="clear" w:color="auto" w:fill="FFFFFF" w:themeFill="background1"/>
        <w:spacing w:line="360" w:lineRule="atLeast"/>
        <w:jc w:val="center"/>
        <w:rPr>
          <w:rFonts w:asciiTheme="minorEastAsia" w:hAnsiTheme="minorEastAsia"/>
          <w:color w:val="333333"/>
          <w:sz w:val="18"/>
          <w:szCs w:val="18"/>
        </w:rPr>
      </w:pPr>
      <w:r>
        <w:rPr>
          <w:rFonts w:hint="eastAsia" w:asciiTheme="minorEastAsia" w:hAnsiTheme="minorEastAsia"/>
          <w:color w:val="333333"/>
        </w:rPr>
        <w:t> </w:t>
      </w:r>
    </w:p>
    <w:p w14:paraId="4E1120DB">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太湖县妇幼保健院：</w:t>
      </w:r>
    </w:p>
    <w:p w14:paraId="626DD608">
      <w:pPr>
        <w:shd w:val="clear" w:color="auto" w:fill="FFFFFF" w:themeFill="background1"/>
        <w:spacing w:line="600" w:lineRule="atLeast"/>
        <w:ind w:firstLine="480"/>
        <w:jc w:val="center"/>
        <w:rPr>
          <w:rFonts w:asciiTheme="minorEastAsia" w:hAnsiTheme="minorEastAsia"/>
          <w:color w:val="333333"/>
          <w:sz w:val="18"/>
          <w:szCs w:val="18"/>
        </w:rPr>
      </w:pPr>
      <w:r>
        <w:rPr>
          <w:rFonts w:hint="eastAsia" w:asciiTheme="minorEastAsia" w:hAnsiTheme="minorEastAsia"/>
          <w:color w:val="333333"/>
        </w:rPr>
        <w:t>关于本次询价采购项目，我公司已经认真阅读了贵方发布的采购询价公告，决定参加_________________报价，并愿意接受询价公告中约定的所有条款。</w:t>
      </w:r>
    </w:p>
    <w:p w14:paraId="0C12E3D6">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一、报价明细表</w:t>
      </w:r>
    </w:p>
    <w:p w14:paraId="26FDCBAC">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w:t>
      </w:r>
    </w:p>
    <w:tbl>
      <w:tblPr>
        <w:tblStyle w:val="8"/>
        <w:tblW w:w="10349" w:type="dxa"/>
        <w:tblInd w:w="-1025" w:type="dxa"/>
        <w:tblLayout w:type="autofit"/>
        <w:tblCellMar>
          <w:top w:w="0" w:type="dxa"/>
          <w:left w:w="108" w:type="dxa"/>
          <w:bottom w:w="0" w:type="dxa"/>
          <w:right w:w="108" w:type="dxa"/>
        </w:tblCellMar>
      </w:tblPr>
      <w:tblGrid>
        <w:gridCol w:w="709"/>
        <w:gridCol w:w="1702"/>
        <w:gridCol w:w="1178"/>
        <w:gridCol w:w="820"/>
        <w:gridCol w:w="1160"/>
        <w:gridCol w:w="940"/>
        <w:gridCol w:w="820"/>
        <w:gridCol w:w="820"/>
        <w:gridCol w:w="940"/>
        <w:gridCol w:w="1260"/>
      </w:tblGrid>
      <w:tr w14:paraId="4AC777F6">
        <w:tblPrEx>
          <w:tblCellMar>
            <w:top w:w="0" w:type="dxa"/>
            <w:left w:w="108" w:type="dxa"/>
            <w:bottom w:w="0" w:type="dxa"/>
            <w:right w:w="108" w:type="dxa"/>
          </w:tblCellMar>
        </w:tblPrEx>
        <w:trPr>
          <w:trHeight w:val="705"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07A1C0A8">
            <w:pPr>
              <w:widowControl/>
              <w:jc w:val="center"/>
              <w:rPr>
                <w:rFonts w:ascii="宋体" w:hAnsi="宋体" w:eastAsia="宋体" w:cs="宋体"/>
                <w:color w:val="454545"/>
                <w:kern w:val="0"/>
                <w:szCs w:val="21"/>
              </w:rPr>
            </w:pPr>
            <w:r>
              <w:rPr>
                <w:rFonts w:hint="eastAsia" w:ascii="宋体" w:hAnsi="宋体" w:eastAsia="宋体" w:cs="宋体"/>
                <w:color w:val="454545"/>
                <w:kern w:val="0"/>
                <w:szCs w:val="21"/>
              </w:rPr>
              <w:t>包号</w:t>
            </w:r>
          </w:p>
        </w:tc>
        <w:tc>
          <w:tcPr>
            <w:tcW w:w="1702" w:type="dxa"/>
            <w:tcBorders>
              <w:top w:val="single" w:color="auto" w:sz="4" w:space="0"/>
              <w:left w:val="nil"/>
              <w:bottom w:val="single" w:color="auto" w:sz="4" w:space="0"/>
              <w:right w:val="single" w:color="auto" w:sz="4" w:space="0"/>
            </w:tcBorders>
            <w:shd w:val="clear" w:color="000000" w:fill="FFFFFF"/>
            <w:vAlign w:val="center"/>
          </w:tcPr>
          <w:p w14:paraId="1DBD5C85">
            <w:pPr>
              <w:widowControl/>
              <w:jc w:val="center"/>
              <w:rPr>
                <w:rFonts w:ascii="宋体" w:hAnsi="宋体" w:eastAsia="宋体" w:cs="宋体"/>
                <w:color w:val="454545"/>
                <w:kern w:val="0"/>
                <w:szCs w:val="21"/>
              </w:rPr>
            </w:pPr>
            <w:r>
              <w:rPr>
                <w:rFonts w:hint="eastAsia" w:ascii="宋体" w:hAnsi="宋体" w:eastAsia="宋体" w:cs="宋体"/>
                <w:color w:val="454545"/>
                <w:kern w:val="0"/>
                <w:szCs w:val="21"/>
              </w:rPr>
              <w:t>检验试剂名称</w:t>
            </w:r>
          </w:p>
        </w:tc>
        <w:tc>
          <w:tcPr>
            <w:tcW w:w="1178" w:type="dxa"/>
            <w:tcBorders>
              <w:top w:val="single" w:color="auto" w:sz="4" w:space="0"/>
              <w:left w:val="nil"/>
              <w:bottom w:val="single" w:color="auto" w:sz="4" w:space="0"/>
              <w:right w:val="single" w:color="auto" w:sz="4" w:space="0"/>
            </w:tcBorders>
            <w:shd w:val="clear" w:color="000000" w:fill="FFFFFF"/>
            <w:vAlign w:val="center"/>
          </w:tcPr>
          <w:p w14:paraId="24B39902">
            <w:pPr>
              <w:widowControl/>
              <w:jc w:val="center"/>
              <w:rPr>
                <w:rFonts w:ascii="宋体" w:hAnsi="宋体" w:eastAsia="宋体" w:cs="宋体"/>
                <w:color w:val="454545"/>
                <w:kern w:val="0"/>
                <w:szCs w:val="21"/>
              </w:rPr>
            </w:pPr>
            <w:r>
              <w:rPr>
                <w:rFonts w:hint="eastAsia" w:ascii="宋体" w:hAnsi="宋体" w:eastAsia="宋体" w:cs="宋体"/>
                <w:color w:val="454545"/>
                <w:kern w:val="0"/>
                <w:szCs w:val="21"/>
              </w:rPr>
              <w:t>方法学</w:t>
            </w:r>
          </w:p>
        </w:tc>
        <w:tc>
          <w:tcPr>
            <w:tcW w:w="820" w:type="dxa"/>
            <w:tcBorders>
              <w:top w:val="single" w:color="auto" w:sz="4" w:space="0"/>
              <w:left w:val="nil"/>
              <w:bottom w:val="single" w:color="auto" w:sz="4" w:space="0"/>
              <w:right w:val="single" w:color="auto" w:sz="4" w:space="0"/>
            </w:tcBorders>
            <w:shd w:val="clear" w:color="000000" w:fill="FFFFFF"/>
            <w:vAlign w:val="center"/>
          </w:tcPr>
          <w:p w14:paraId="3FE80FEC">
            <w:pPr>
              <w:widowControl/>
              <w:jc w:val="center"/>
              <w:rPr>
                <w:rFonts w:ascii="宋体" w:hAnsi="宋体" w:eastAsia="宋体" w:cs="宋体"/>
                <w:bCs/>
                <w:kern w:val="0"/>
                <w:szCs w:val="21"/>
              </w:rPr>
            </w:pPr>
            <w:r>
              <w:rPr>
                <w:rFonts w:hint="eastAsia" w:ascii="宋体" w:hAnsi="宋体" w:eastAsia="宋体" w:cs="宋体"/>
                <w:bCs/>
                <w:kern w:val="0"/>
                <w:szCs w:val="21"/>
              </w:rPr>
              <w:t>规格</w:t>
            </w:r>
          </w:p>
        </w:tc>
        <w:tc>
          <w:tcPr>
            <w:tcW w:w="1160" w:type="dxa"/>
            <w:tcBorders>
              <w:top w:val="single" w:color="auto" w:sz="4" w:space="0"/>
              <w:left w:val="nil"/>
              <w:bottom w:val="single" w:color="auto" w:sz="4" w:space="0"/>
              <w:right w:val="single" w:color="auto" w:sz="4" w:space="0"/>
            </w:tcBorders>
            <w:shd w:val="clear" w:color="000000" w:fill="FFFFFF"/>
            <w:vAlign w:val="center"/>
          </w:tcPr>
          <w:p w14:paraId="4A052B14">
            <w:pPr>
              <w:widowControl/>
              <w:jc w:val="center"/>
              <w:rPr>
                <w:rFonts w:ascii="宋体" w:hAnsi="宋体" w:eastAsia="宋体" w:cs="宋体"/>
                <w:color w:val="454545"/>
                <w:kern w:val="0"/>
                <w:szCs w:val="21"/>
              </w:rPr>
            </w:pPr>
            <w:r>
              <w:rPr>
                <w:rFonts w:hint="eastAsia" w:ascii="宋体" w:hAnsi="宋体" w:eastAsia="宋体" w:cs="宋体"/>
                <w:color w:val="454545"/>
                <w:kern w:val="0"/>
                <w:szCs w:val="21"/>
              </w:rPr>
              <w:t>生产企业</w:t>
            </w:r>
          </w:p>
        </w:tc>
        <w:tc>
          <w:tcPr>
            <w:tcW w:w="940" w:type="dxa"/>
            <w:tcBorders>
              <w:top w:val="single" w:color="auto" w:sz="4" w:space="0"/>
              <w:left w:val="nil"/>
              <w:bottom w:val="single" w:color="auto" w:sz="4" w:space="0"/>
              <w:right w:val="single" w:color="auto" w:sz="4" w:space="0"/>
            </w:tcBorders>
            <w:shd w:val="clear" w:color="000000" w:fill="FFFFFF"/>
            <w:vAlign w:val="center"/>
          </w:tcPr>
          <w:p w14:paraId="64C79C3E">
            <w:pPr>
              <w:widowControl/>
              <w:jc w:val="center"/>
              <w:rPr>
                <w:rFonts w:ascii="宋体" w:hAnsi="宋体" w:eastAsia="宋体" w:cs="宋体"/>
                <w:color w:val="454545"/>
                <w:kern w:val="0"/>
                <w:szCs w:val="21"/>
              </w:rPr>
            </w:pPr>
            <w:r>
              <w:rPr>
                <w:rFonts w:hint="eastAsia" w:ascii="宋体" w:hAnsi="宋体" w:eastAsia="宋体" w:cs="宋体"/>
                <w:color w:val="454545"/>
                <w:kern w:val="0"/>
                <w:szCs w:val="21"/>
              </w:rPr>
              <w:t>单位</w:t>
            </w:r>
          </w:p>
        </w:tc>
        <w:tc>
          <w:tcPr>
            <w:tcW w:w="820" w:type="dxa"/>
            <w:tcBorders>
              <w:top w:val="single" w:color="auto" w:sz="4" w:space="0"/>
              <w:left w:val="nil"/>
              <w:bottom w:val="single" w:color="auto" w:sz="4" w:space="0"/>
              <w:right w:val="single" w:color="auto" w:sz="4" w:space="0"/>
            </w:tcBorders>
            <w:shd w:val="clear" w:color="auto" w:fill="auto"/>
            <w:vAlign w:val="center"/>
          </w:tcPr>
          <w:p w14:paraId="17F964D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单价(元/人份)</w:t>
            </w:r>
          </w:p>
        </w:tc>
        <w:tc>
          <w:tcPr>
            <w:tcW w:w="820" w:type="dxa"/>
            <w:tcBorders>
              <w:top w:val="single" w:color="auto" w:sz="4" w:space="0"/>
              <w:left w:val="nil"/>
              <w:bottom w:val="single" w:color="auto" w:sz="4" w:space="0"/>
              <w:right w:val="single" w:color="auto" w:sz="4" w:space="0"/>
            </w:tcBorders>
            <w:shd w:val="clear" w:color="auto" w:fill="auto"/>
            <w:vAlign w:val="center"/>
          </w:tcPr>
          <w:p w14:paraId="7923573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总价(元/盒)</w:t>
            </w:r>
          </w:p>
        </w:tc>
        <w:tc>
          <w:tcPr>
            <w:tcW w:w="940" w:type="dxa"/>
            <w:tcBorders>
              <w:top w:val="single" w:color="auto" w:sz="4" w:space="0"/>
              <w:left w:val="nil"/>
              <w:bottom w:val="single" w:color="auto" w:sz="4" w:space="0"/>
              <w:right w:val="single" w:color="auto" w:sz="4" w:space="0"/>
            </w:tcBorders>
            <w:shd w:val="clear" w:color="auto" w:fill="auto"/>
            <w:noWrap/>
            <w:vAlign w:val="center"/>
          </w:tcPr>
          <w:p w14:paraId="483C8DF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流水号</w:t>
            </w:r>
          </w:p>
        </w:tc>
        <w:tc>
          <w:tcPr>
            <w:tcW w:w="1260" w:type="dxa"/>
            <w:tcBorders>
              <w:top w:val="single" w:color="auto" w:sz="4" w:space="0"/>
              <w:left w:val="nil"/>
              <w:bottom w:val="single" w:color="auto" w:sz="4" w:space="0"/>
              <w:right w:val="single" w:color="auto" w:sz="4" w:space="0"/>
            </w:tcBorders>
            <w:shd w:val="clear" w:color="auto" w:fill="auto"/>
            <w:noWrap/>
            <w:vAlign w:val="center"/>
          </w:tcPr>
          <w:p w14:paraId="19523BEF">
            <w:pPr>
              <w:widowControl/>
              <w:jc w:val="center"/>
              <w:rPr>
                <w:rFonts w:ascii="宋体" w:hAnsi="宋体" w:eastAsia="宋体" w:cs="宋体"/>
                <w:b/>
                <w:bCs/>
                <w:kern w:val="0"/>
                <w:szCs w:val="21"/>
              </w:rPr>
            </w:pPr>
            <w:r>
              <w:rPr>
                <w:rFonts w:hint="eastAsia" w:ascii="宋体" w:hAnsi="宋体" w:eastAsia="宋体" w:cs="宋体"/>
                <w:b/>
                <w:bCs/>
                <w:kern w:val="0"/>
                <w:szCs w:val="21"/>
              </w:rPr>
              <w:t>备注</w:t>
            </w:r>
          </w:p>
        </w:tc>
      </w:tr>
      <w:tr w14:paraId="34C5C5DC">
        <w:tblPrEx>
          <w:tblCellMar>
            <w:top w:w="0" w:type="dxa"/>
            <w:left w:w="108" w:type="dxa"/>
            <w:bottom w:w="0" w:type="dxa"/>
            <w:right w:w="108" w:type="dxa"/>
          </w:tblCellMar>
        </w:tblPrEx>
        <w:trPr>
          <w:trHeight w:val="705" w:hRule="atLeast"/>
        </w:trPr>
        <w:tc>
          <w:tcPr>
            <w:tcW w:w="709" w:type="dxa"/>
            <w:tcBorders>
              <w:top w:val="nil"/>
              <w:left w:val="single" w:color="auto" w:sz="4" w:space="0"/>
              <w:bottom w:val="single" w:color="auto" w:sz="4" w:space="0"/>
              <w:right w:val="single" w:color="auto" w:sz="4" w:space="0"/>
            </w:tcBorders>
            <w:shd w:val="clear" w:color="000000" w:fill="FFFFFF"/>
            <w:vAlign w:val="center"/>
          </w:tcPr>
          <w:p w14:paraId="59B38CE5">
            <w:pPr>
              <w:widowControl/>
              <w:jc w:val="center"/>
              <w:rPr>
                <w:rFonts w:ascii="宋体" w:hAnsi="宋体" w:eastAsia="宋体" w:cs="宋体"/>
                <w:color w:val="454545"/>
                <w:kern w:val="0"/>
                <w:szCs w:val="21"/>
              </w:rPr>
            </w:pPr>
          </w:p>
        </w:tc>
        <w:tc>
          <w:tcPr>
            <w:tcW w:w="1702" w:type="dxa"/>
            <w:tcBorders>
              <w:top w:val="nil"/>
              <w:left w:val="nil"/>
              <w:bottom w:val="single" w:color="auto" w:sz="4" w:space="0"/>
              <w:right w:val="single" w:color="auto" w:sz="4" w:space="0"/>
            </w:tcBorders>
            <w:shd w:val="clear" w:color="000000" w:fill="FFFFFF"/>
            <w:vAlign w:val="bottom"/>
          </w:tcPr>
          <w:p w14:paraId="11BC45A8">
            <w:pPr>
              <w:widowControl/>
              <w:jc w:val="left"/>
              <w:rPr>
                <w:rFonts w:ascii="宋体" w:hAnsi="宋体" w:eastAsia="宋体" w:cs="宋体"/>
                <w:color w:val="000000"/>
                <w:kern w:val="0"/>
                <w:szCs w:val="21"/>
              </w:rPr>
            </w:pPr>
          </w:p>
        </w:tc>
        <w:tc>
          <w:tcPr>
            <w:tcW w:w="1178" w:type="dxa"/>
            <w:tcBorders>
              <w:top w:val="nil"/>
              <w:left w:val="nil"/>
              <w:bottom w:val="single" w:color="auto" w:sz="4" w:space="0"/>
              <w:right w:val="single" w:color="auto" w:sz="4" w:space="0"/>
            </w:tcBorders>
            <w:shd w:val="clear" w:color="000000" w:fill="FFFFFF"/>
            <w:noWrap/>
            <w:vAlign w:val="bottom"/>
          </w:tcPr>
          <w:p w14:paraId="55F8C86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20" w:type="dxa"/>
            <w:tcBorders>
              <w:top w:val="nil"/>
              <w:left w:val="nil"/>
              <w:bottom w:val="single" w:color="auto" w:sz="4" w:space="0"/>
              <w:right w:val="single" w:color="auto" w:sz="4" w:space="0"/>
            </w:tcBorders>
            <w:shd w:val="clear" w:color="000000" w:fill="FFFFFF"/>
            <w:noWrap/>
            <w:vAlign w:val="bottom"/>
          </w:tcPr>
          <w:p w14:paraId="0D12A718">
            <w:pPr>
              <w:widowControl/>
              <w:jc w:val="left"/>
              <w:rPr>
                <w:rFonts w:ascii="宋体" w:hAnsi="宋体" w:eastAsia="宋体" w:cs="宋体"/>
                <w:color w:val="FF0000"/>
                <w:kern w:val="0"/>
                <w:szCs w:val="21"/>
              </w:rPr>
            </w:pPr>
            <w:r>
              <w:rPr>
                <w:rFonts w:hint="eastAsia" w:ascii="宋体" w:hAnsi="宋体" w:eastAsia="宋体" w:cs="宋体"/>
                <w:color w:val="FF0000"/>
                <w:kern w:val="0"/>
                <w:szCs w:val="21"/>
              </w:rPr>
              <w:t>　</w:t>
            </w:r>
          </w:p>
        </w:tc>
        <w:tc>
          <w:tcPr>
            <w:tcW w:w="1160" w:type="dxa"/>
            <w:tcBorders>
              <w:top w:val="nil"/>
              <w:left w:val="nil"/>
              <w:bottom w:val="single" w:color="auto" w:sz="4" w:space="0"/>
              <w:right w:val="single" w:color="auto" w:sz="4" w:space="0"/>
            </w:tcBorders>
            <w:shd w:val="clear" w:color="000000" w:fill="FFFFFF"/>
            <w:noWrap/>
            <w:vAlign w:val="bottom"/>
          </w:tcPr>
          <w:p w14:paraId="0AEE964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40" w:type="dxa"/>
            <w:tcBorders>
              <w:top w:val="nil"/>
              <w:left w:val="nil"/>
              <w:bottom w:val="single" w:color="auto" w:sz="4" w:space="0"/>
              <w:right w:val="single" w:color="auto" w:sz="4" w:space="0"/>
            </w:tcBorders>
            <w:shd w:val="clear" w:color="000000" w:fill="FFFFFF"/>
            <w:noWrap/>
            <w:vAlign w:val="bottom"/>
          </w:tcPr>
          <w:p w14:paraId="74CF268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20" w:type="dxa"/>
            <w:tcBorders>
              <w:top w:val="nil"/>
              <w:left w:val="nil"/>
              <w:bottom w:val="single" w:color="auto" w:sz="4" w:space="0"/>
              <w:right w:val="single" w:color="auto" w:sz="4" w:space="0"/>
            </w:tcBorders>
            <w:shd w:val="clear" w:color="000000" w:fill="FFFFFF"/>
            <w:noWrap/>
            <w:vAlign w:val="bottom"/>
          </w:tcPr>
          <w:p w14:paraId="47ED2ED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20" w:type="dxa"/>
            <w:tcBorders>
              <w:top w:val="nil"/>
              <w:left w:val="nil"/>
              <w:bottom w:val="single" w:color="auto" w:sz="4" w:space="0"/>
              <w:right w:val="single" w:color="auto" w:sz="4" w:space="0"/>
            </w:tcBorders>
            <w:shd w:val="clear" w:color="000000" w:fill="FFFFFF"/>
            <w:noWrap/>
            <w:vAlign w:val="bottom"/>
          </w:tcPr>
          <w:p w14:paraId="7259306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940" w:type="dxa"/>
            <w:tcBorders>
              <w:top w:val="nil"/>
              <w:left w:val="nil"/>
              <w:bottom w:val="single" w:color="auto" w:sz="4" w:space="0"/>
              <w:right w:val="single" w:color="auto" w:sz="4" w:space="0"/>
            </w:tcBorders>
            <w:shd w:val="clear" w:color="000000" w:fill="FFFFFF"/>
            <w:noWrap/>
            <w:vAlign w:val="bottom"/>
          </w:tcPr>
          <w:p w14:paraId="3A76C58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60" w:type="dxa"/>
            <w:tcBorders>
              <w:top w:val="nil"/>
              <w:left w:val="nil"/>
              <w:bottom w:val="single" w:color="auto" w:sz="4" w:space="0"/>
              <w:right w:val="single" w:color="auto" w:sz="4" w:space="0"/>
            </w:tcBorders>
            <w:shd w:val="clear" w:color="000000" w:fill="FFFFFF"/>
            <w:noWrap/>
            <w:vAlign w:val="bottom"/>
          </w:tcPr>
          <w:p w14:paraId="6EB0CBD6">
            <w:pPr>
              <w:widowControl/>
              <w:ind w:left="105" w:hanging="105" w:hangingChars="50"/>
              <w:jc w:val="left"/>
              <w:rPr>
                <w:rFonts w:ascii="宋体" w:hAnsi="宋体" w:eastAsia="宋体" w:cs="宋体"/>
                <w:kern w:val="0"/>
                <w:szCs w:val="21"/>
              </w:rPr>
            </w:pPr>
            <w:r>
              <w:rPr>
                <w:rFonts w:hint="eastAsia" w:ascii="宋体" w:hAnsi="宋体" w:eastAsia="宋体" w:cs="宋体"/>
                <w:kern w:val="0"/>
                <w:szCs w:val="21"/>
              </w:rPr>
              <w:t xml:space="preserve">适用于  </w:t>
            </w:r>
          </w:p>
        </w:tc>
      </w:tr>
      <w:tr w14:paraId="4737E18F">
        <w:tblPrEx>
          <w:tblCellMar>
            <w:top w:w="0" w:type="dxa"/>
            <w:left w:w="108" w:type="dxa"/>
            <w:bottom w:w="0" w:type="dxa"/>
            <w:right w:w="108" w:type="dxa"/>
          </w:tblCellMar>
        </w:tblPrEx>
        <w:trPr>
          <w:trHeight w:val="705"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42D5FB47">
            <w:pPr>
              <w:widowControl/>
              <w:jc w:val="center"/>
              <w:rPr>
                <w:rFonts w:ascii="宋体" w:hAnsi="宋体" w:eastAsia="宋体" w:cs="宋体"/>
                <w:color w:val="454545"/>
                <w:kern w:val="0"/>
                <w:szCs w:val="21"/>
              </w:rPr>
            </w:pPr>
          </w:p>
        </w:tc>
        <w:tc>
          <w:tcPr>
            <w:tcW w:w="1702" w:type="dxa"/>
            <w:tcBorders>
              <w:top w:val="single" w:color="auto" w:sz="4" w:space="0"/>
              <w:left w:val="nil"/>
              <w:bottom w:val="single" w:color="auto" w:sz="4" w:space="0"/>
              <w:right w:val="single" w:color="auto" w:sz="4" w:space="0"/>
            </w:tcBorders>
            <w:shd w:val="clear" w:color="000000" w:fill="FFFFFF"/>
            <w:vAlign w:val="bottom"/>
          </w:tcPr>
          <w:p w14:paraId="0EEC97CC">
            <w:pPr>
              <w:widowControl/>
              <w:jc w:val="left"/>
              <w:rPr>
                <w:rFonts w:ascii="宋体" w:hAnsi="宋体" w:eastAsia="宋体" w:cs="宋体"/>
                <w:color w:val="000000"/>
                <w:kern w:val="0"/>
                <w:szCs w:val="21"/>
              </w:rPr>
            </w:pPr>
          </w:p>
        </w:tc>
        <w:tc>
          <w:tcPr>
            <w:tcW w:w="1178" w:type="dxa"/>
            <w:tcBorders>
              <w:top w:val="single" w:color="auto" w:sz="4" w:space="0"/>
              <w:left w:val="nil"/>
              <w:bottom w:val="single" w:color="auto" w:sz="4" w:space="0"/>
              <w:right w:val="single" w:color="auto" w:sz="4" w:space="0"/>
            </w:tcBorders>
            <w:shd w:val="clear" w:color="000000" w:fill="FFFFFF"/>
            <w:noWrap/>
            <w:vAlign w:val="bottom"/>
          </w:tcPr>
          <w:p w14:paraId="123BD4F7">
            <w:pPr>
              <w:widowControl/>
              <w:jc w:val="left"/>
              <w:rPr>
                <w:rFonts w:ascii="宋体" w:hAnsi="宋体" w:eastAsia="宋体" w:cs="宋体"/>
                <w:color w:val="000000"/>
                <w:kern w:val="0"/>
                <w:szCs w:val="21"/>
              </w:rPr>
            </w:pPr>
          </w:p>
        </w:tc>
        <w:tc>
          <w:tcPr>
            <w:tcW w:w="820" w:type="dxa"/>
            <w:tcBorders>
              <w:top w:val="single" w:color="auto" w:sz="4" w:space="0"/>
              <w:left w:val="nil"/>
              <w:bottom w:val="single" w:color="auto" w:sz="4" w:space="0"/>
              <w:right w:val="single" w:color="auto" w:sz="4" w:space="0"/>
            </w:tcBorders>
            <w:shd w:val="clear" w:color="000000" w:fill="FFFFFF"/>
            <w:noWrap/>
            <w:vAlign w:val="bottom"/>
          </w:tcPr>
          <w:p w14:paraId="7D6B0443">
            <w:pPr>
              <w:widowControl/>
              <w:jc w:val="left"/>
              <w:rPr>
                <w:rFonts w:ascii="宋体" w:hAnsi="宋体" w:eastAsia="宋体" w:cs="宋体"/>
                <w:color w:val="FF0000"/>
                <w:kern w:val="0"/>
                <w:szCs w:val="21"/>
              </w:rPr>
            </w:pPr>
          </w:p>
        </w:tc>
        <w:tc>
          <w:tcPr>
            <w:tcW w:w="1160" w:type="dxa"/>
            <w:tcBorders>
              <w:top w:val="single" w:color="auto" w:sz="4" w:space="0"/>
              <w:left w:val="nil"/>
              <w:bottom w:val="single" w:color="auto" w:sz="4" w:space="0"/>
              <w:right w:val="single" w:color="auto" w:sz="4" w:space="0"/>
            </w:tcBorders>
            <w:shd w:val="clear" w:color="000000" w:fill="FFFFFF"/>
            <w:noWrap/>
            <w:vAlign w:val="bottom"/>
          </w:tcPr>
          <w:p w14:paraId="3AF8A49C">
            <w:pPr>
              <w:widowControl/>
              <w:jc w:val="left"/>
              <w:rPr>
                <w:rFonts w:ascii="宋体" w:hAnsi="宋体" w:eastAsia="宋体" w:cs="宋体"/>
                <w:color w:val="000000"/>
                <w:kern w:val="0"/>
                <w:szCs w:val="21"/>
              </w:rPr>
            </w:pPr>
          </w:p>
        </w:tc>
        <w:tc>
          <w:tcPr>
            <w:tcW w:w="940" w:type="dxa"/>
            <w:tcBorders>
              <w:top w:val="single" w:color="auto" w:sz="4" w:space="0"/>
              <w:left w:val="nil"/>
              <w:bottom w:val="single" w:color="auto" w:sz="4" w:space="0"/>
              <w:right w:val="single" w:color="auto" w:sz="4" w:space="0"/>
            </w:tcBorders>
            <w:shd w:val="clear" w:color="000000" w:fill="FFFFFF"/>
            <w:noWrap/>
            <w:vAlign w:val="bottom"/>
          </w:tcPr>
          <w:p w14:paraId="0794DA33">
            <w:pPr>
              <w:widowControl/>
              <w:jc w:val="left"/>
              <w:rPr>
                <w:rFonts w:ascii="宋体" w:hAnsi="宋体" w:eastAsia="宋体" w:cs="宋体"/>
                <w:color w:val="000000"/>
                <w:kern w:val="0"/>
                <w:szCs w:val="21"/>
              </w:rPr>
            </w:pPr>
          </w:p>
        </w:tc>
        <w:tc>
          <w:tcPr>
            <w:tcW w:w="820" w:type="dxa"/>
            <w:tcBorders>
              <w:top w:val="single" w:color="auto" w:sz="4" w:space="0"/>
              <w:left w:val="nil"/>
              <w:bottom w:val="single" w:color="auto" w:sz="4" w:space="0"/>
              <w:right w:val="single" w:color="auto" w:sz="4" w:space="0"/>
            </w:tcBorders>
            <w:shd w:val="clear" w:color="000000" w:fill="FFFFFF"/>
            <w:noWrap/>
            <w:vAlign w:val="bottom"/>
          </w:tcPr>
          <w:p w14:paraId="52572577">
            <w:pPr>
              <w:widowControl/>
              <w:jc w:val="left"/>
              <w:rPr>
                <w:rFonts w:ascii="宋体" w:hAnsi="宋体" w:eastAsia="宋体" w:cs="宋体"/>
                <w:color w:val="000000"/>
                <w:kern w:val="0"/>
                <w:szCs w:val="21"/>
              </w:rPr>
            </w:pPr>
          </w:p>
        </w:tc>
        <w:tc>
          <w:tcPr>
            <w:tcW w:w="820" w:type="dxa"/>
            <w:tcBorders>
              <w:top w:val="single" w:color="auto" w:sz="4" w:space="0"/>
              <w:left w:val="nil"/>
              <w:bottom w:val="single" w:color="auto" w:sz="4" w:space="0"/>
              <w:right w:val="single" w:color="auto" w:sz="4" w:space="0"/>
            </w:tcBorders>
            <w:shd w:val="clear" w:color="000000" w:fill="FFFFFF"/>
            <w:noWrap/>
            <w:vAlign w:val="bottom"/>
          </w:tcPr>
          <w:p w14:paraId="10370DBF">
            <w:pPr>
              <w:widowControl/>
              <w:jc w:val="left"/>
              <w:rPr>
                <w:rFonts w:ascii="宋体" w:hAnsi="宋体" w:eastAsia="宋体" w:cs="宋体"/>
                <w:color w:val="000000"/>
                <w:kern w:val="0"/>
                <w:szCs w:val="21"/>
              </w:rPr>
            </w:pPr>
          </w:p>
        </w:tc>
        <w:tc>
          <w:tcPr>
            <w:tcW w:w="940" w:type="dxa"/>
            <w:tcBorders>
              <w:top w:val="single" w:color="auto" w:sz="4" w:space="0"/>
              <w:left w:val="nil"/>
              <w:bottom w:val="single" w:color="auto" w:sz="4" w:space="0"/>
              <w:right w:val="single" w:color="auto" w:sz="4" w:space="0"/>
            </w:tcBorders>
            <w:shd w:val="clear" w:color="000000" w:fill="FFFFFF"/>
            <w:noWrap/>
            <w:vAlign w:val="bottom"/>
          </w:tcPr>
          <w:p w14:paraId="69DAFE27">
            <w:pPr>
              <w:widowControl/>
              <w:jc w:val="left"/>
              <w:rPr>
                <w:rFonts w:ascii="宋体" w:hAnsi="宋体" w:eastAsia="宋体" w:cs="宋体"/>
                <w:color w:val="000000"/>
                <w:kern w:val="0"/>
                <w:szCs w:val="21"/>
              </w:rPr>
            </w:pPr>
          </w:p>
        </w:tc>
        <w:tc>
          <w:tcPr>
            <w:tcW w:w="1260" w:type="dxa"/>
            <w:tcBorders>
              <w:top w:val="single" w:color="auto" w:sz="4" w:space="0"/>
              <w:left w:val="nil"/>
              <w:bottom w:val="single" w:color="auto" w:sz="4" w:space="0"/>
              <w:right w:val="single" w:color="auto" w:sz="4" w:space="0"/>
            </w:tcBorders>
            <w:shd w:val="clear" w:color="000000" w:fill="FFFFFF"/>
            <w:noWrap/>
            <w:vAlign w:val="bottom"/>
          </w:tcPr>
          <w:p w14:paraId="776DF95A">
            <w:pPr>
              <w:widowControl/>
              <w:ind w:left="105" w:hanging="105" w:hangingChars="50"/>
              <w:jc w:val="left"/>
              <w:rPr>
                <w:rFonts w:ascii="宋体" w:hAnsi="宋体" w:eastAsia="宋体" w:cs="宋体"/>
                <w:kern w:val="0"/>
                <w:szCs w:val="21"/>
              </w:rPr>
            </w:pPr>
          </w:p>
        </w:tc>
      </w:tr>
      <w:tr w14:paraId="316B19F9">
        <w:tblPrEx>
          <w:tblCellMar>
            <w:top w:w="0" w:type="dxa"/>
            <w:left w:w="108" w:type="dxa"/>
            <w:bottom w:w="0" w:type="dxa"/>
            <w:right w:w="108" w:type="dxa"/>
          </w:tblCellMar>
        </w:tblPrEx>
        <w:trPr>
          <w:trHeight w:val="705" w:hRule="atLeast"/>
        </w:trPr>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14:paraId="1AF6F948">
            <w:pPr>
              <w:widowControl/>
              <w:jc w:val="center"/>
              <w:rPr>
                <w:rFonts w:ascii="宋体" w:hAnsi="宋体" w:eastAsia="宋体" w:cs="宋体"/>
                <w:color w:val="454545"/>
                <w:kern w:val="0"/>
                <w:szCs w:val="21"/>
              </w:rPr>
            </w:pPr>
            <w:r>
              <w:rPr>
                <w:rFonts w:hint="eastAsia" w:ascii="宋体" w:hAnsi="宋体" w:eastAsia="宋体" w:cs="宋体"/>
                <w:color w:val="454545"/>
                <w:kern w:val="0"/>
                <w:szCs w:val="21"/>
              </w:rPr>
              <w:t>合计</w:t>
            </w:r>
          </w:p>
        </w:tc>
        <w:tc>
          <w:tcPr>
            <w:tcW w:w="1702" w:type="dxa"/>
            <w:tcBorders>
              <w:top w:val="single" w:color="auto" w:sz="4" w:space="0"/>
              <w:left w:val="nil"/>
              <w:bottom w:val="single" w:color="auto" w:sz="4" w:space="0"/>
              <w:right w:val="single" w:color="auto" w:sz="4" w:space="0"/>
            </w:tcBorders>
            <w:shd w:val="clear" w:color="000000" w:fill="FFFFFF"/>
            <w:vAlign w:val="bottom"/>
          </w:tcPr>
          <w:p w14:paraId="6E290EAE">
            <w:pPr>
              <w:widowControl/>
              <w:jc w:val="left"/>
              <w:rPr>
                <w:rFonts w:ascii="宋体" w:hAnsi="宋体" w:eastAsia="宋体" w:cs="宋体"/>
                <w:color w:val="000000"/>
                <w:kern w:val="0"/>
                <w:szCs w:val="21"/>
              </w:rPr>
            </w:pPr>
          </w:p>
        </w:tc>
        <w:tc>
          <w:tcPr>
            <w:tcW w:w="1178" w:type="dxa"/>
            <w:tcBorders>
              <w:top w:val="single" w:color="auto" w:sz="4" w:space="0"/>
              <w:left w:val="nil"/>
              <w:bottom w:val="single" w:color="auto" w:sz="4" w:space="0"/>
              <w:right w:val="single" w:color="auto" w:sz="4" w:space="0"/>
            </w:tcBorders>
            <w:shd w:val="clear" w:color="000000" w:fill="FFFFFF"/>
            <w:noWrap/>
            <w:vAlign w:val="bottom"/>
          </w:tcPr>
          <w:p w14:paraId="774493DC">
            <w:pPr>
              <w:widowControl/>
              <w:jc w:val="left"/>
              <w:rPr>
                <w:rFonts w:ascii="宋体" w:hAnsi="宋体" w:eastAsia="宋体" w:cs="宋体"/>
                <w:color w:val="000000"/>
                <w:kern w:val="0"/>
                <w:szCs w:val="21"/>
              </w:rPr>
            </w:pPr>
          </w:p>
        </w:tc>
        <w:tc>
          <w:tcPr>
            <w:tcW w:w="820" w:type="dxa"/>
            <w:tcBorders>
              <w:top w:val="single" w:color="auto" w:sz="4" w:space="0"/>
              <w:left w:val="nil"/>
              <w:bottom w:val="single" w:color="auto" w:sz="4" w:space="0"/>
              <w:right w:val="single" w:color="auto" w:sz="4" w:space="0"/>
            </w:tcBorders>
            <w:shd w:val="clear" w:color="000000" w:fill="FFFFFF"/>
            <w:noWrap/>
            <w:vAlign w:val="bottom"/>
          </w:tcPr>
          <w:p w14:paraId="2DC41331">
            <w:pPr>
              <w:widowControl/>
              <w:jc w:val="left"/>
              <w:rPr>
                <w:rFonts w:ascii="宋体" w:hAnsi="宋体" w:eastAsia="宋体" w:cs="宋体"/>
                <w:color w:val="FF0000"/>
                <w:kern w:val="0"/>
                <w:szCs w:val="21"/>
              </w:rPr>
            </w:pPr>
          </w:p>
        </w:tc>
        <w:tc>
          <w:tcPr>
            <w:tcW w:w="1160" w:type="dxa"/>
            <w:tcBorders>
              <w:top w:val="single" w:color="auto" w:sz="4" w:space="0"/>
              <w:left w:val="nil"/>
              <w:bottom w:val="single" w:color="auto" w:sz="4" w:space="0"/>
              <w:right w:val="single" w:color="auto" w:sz="4" w:space="0"/>
            </w:tcBorders>
            <w:shd w:val="clear" w:color="000000" w:fill="FFFFFF"/>
            <w:noWrap/>
            <w:vAlign w:val="bottom"/>
          </w:tcPr>
          <w:p w14:paraId="04572B51">
            <w:pPr>
              <w:widowControl/>
              <w:jc w:val="left"/>
              <w:rPr>
                <w:rFonts w:ascii="宋体" w:hAnsi="宋体" w:eastAsia="宋体" w:cs="宋体"/>
                <w:color w:val="000000"/>
                <w:kern w:val="0"/>
                <w:szCs w:val="21"/>
              </w:rPr>
            </w:pPr>
          </w:p>
        </w:tc>
        <w:tc>
          <w:tcPr>
            <w:tcW w:w="940" w:type="dxa"/>
            <w:tcBorders>
              <w:top w:val="single" w:color="auto" w:sz="4" w:space="0"/>
              <w:left w:val="nil"/>
              <w:bottom w:val="single" w:color="auto" w:sz="4" w:space="0"/>
              <w:right w:val="single" w:color="auto" w:sz="4" w:space="0"/>
            </w:tcBorders>
            <w:shd w:val="clear" w:color="000000" w:fill="FFFFFF"/>
            <w:noWrap/>
            <w:vAlign w:val="bottom"/>
          </w:tcPr>
          <w:p w14:paraId="54CF63C4">
            <w:pPr>
              <w:widowControl/>
              <w:jc w:val="left"/>
              <w:rPr>
                <w:rFonts w:ascii="宋体" w:hAnsi="宋体" w:eastAsia="宋体" w:cs="宋体"/>
                <w:color w:val="000000"/>
                <w:kern w:val="0"/>
                <w:szCs w:val="21"/>
              </w:rPr>
            </w:pPr>
          </w:p>
        </w:tc>
        <w:tc>
          <w:tcPr>
            <w:tcW w:w="820" w:type="dxa"/>
            <w:tcBorders>
              <w:top w:val="single" w:color="auto" w:sz="4" w:space="0"/>
              <w:left w:val="nil"/>
              <w:bottom w:val="single" w:color="auto" w:sz="4" w:space="0"/>
              <w:right w:val="single" w:color="auto" w:sz="4" w:space="0"/>
            </w:tcBorders>
            <w:shd w:val="clear" w:color="000000" w:fill="FFFFFF"/>
            <w:noWrap/>
            <w:vAlign w:val="bottom"/>
          </w:tcPr>
          <w:p w14:paraId="3F96A144">
            <w:pPr>
              <w:widowControl/>
              <w:jc w:val="left"/>
              <w:rPr>
                <w:rFonts w:ascii="宋体" w:hAnsi="宋体" w:eastAsia="宋体" w:cs="宋体"/>
                <w:color w:val="000000"/>
                <w:kern w:val="0"/>
                <w:szCs w:val="21"/>
              </w:rPr>
            </w:pPr>
          </w:p>
        </w:tc>
        <w:tc>
          <w:tcPr>
            <w:tcW w:w="820" w:type="dxa"/>
            <w:tcBorders>
              <w:top w:val="single" w:color="auto" w:sz="4" w:space="0"/>
              <w:left w:val="nil"/>
              <w:bottom w:val="single" w:color="auto" w:sz="4" w:space="0"/>
              <w:right w:val="single" w:color="auto" w:sz="4" w:space="0"/>
            </w:tcBorders>
            <w:shd w:val="clear" w:color="000000" w:fill="FFFFFF"/>
            <w:noWrap/>
            <w:vAlign w:val="bottom"/>
          </w:tcPr>
          <w:p w14:paraId="370B4E97">
            <w:pPr>
              <w:widowControl/>
              <w:jc w:val="left"/>
              <w:rPr>
                <w:rFonts w:ascii="宋体" w:hAnsi="宋体" w:eastAsia="宋体" w:cs="宋体"/>
                <w:color w:val="000000"/>
                <w:kern w:val="0"/>
                <w:szCs w:val="21"/>
              </w:rPr>
            </w:pPr>
          </w:p>
        </w:tc>
        <w:tc>
          <w:tcPr>
            <w:tcW w:w="940" w:type="dxa"/>
            <w:tcBorders>
              <w:top w:val="single" w:color="auto" w:sz="4" w:space="0"/>
              <w:left w:val="nil"/>
              <w:bottom w:val="single" w:color="auto" w:sz="4" w:space="0"/>
              <w:right w:val="single" w:color="auto" w:sz="4" w:space="0"/>
            </w:tcBorders>
            <w:shd w:val="clear" w:color="000000" w:fill="FFFFFF"/>
            <w:noWrap/>
            <w:vAlign w:val="bottom"/>
          </w:tcPr>
          <w:p w14:paraId="4B1D8FB6">
            <w:pPr>
              <w:widowControl/>
              <w:jc w:val="left"/>
              <w:rPr>
                <w:rFonts w:ascii="宋体" w:hAnsi="宋体" w:eastAsia="宋体" w:cs="宋体"/>
                <w:color w:val="000000"/>
                <w:kern w:val="0"/>
                <w:szCs w:val="21"/>
              </w:rPr>
            </w:pPr>
          </w:p>
        </w:tc>
        <w:tc>
          <w:tcPr>
            <w:tcW w:w="1260" w:type="dxa"/>
            <w:tcBorders>
              <w:top w:val="single" w:color="auto" w:sz="4" w:space="0"/>
              <w:left w:val="nil"/>
              <w:bottom w:val="single" w:color="auto" w:sz="4" w:space="0"/>
              <w:right w:val="single" w:color="auto" w:sz="4" w:space="0"/>
            </w:tcBorders>
            <w:shd w:val="clear" w:color="000000" w:fill="FFFFFF"/>
            <w:noWrap/>
            <w:vAlign w:val="bottom"/>
          </w:tcPr>
          <w:p w14:paraId="7BD23498">
            <w:pPr>
              <w:widowControl/>
              <w:ind w:left="105" w:hanging="105" w:hangingChars="50"/>
              <w:jc w:val="left"/>
              <w:rPr>
                <w:rFonts w:ascii="宋体" w:hAnsi="宋体" w:eastAsia="宋体" w:cs="宋体"/>
                <w:kern w:val="0"/>
                <w:szCs w:val="21"/>
              </w:rPr>
            </w:pPr>
          </w:p>
        </w:tc>
      </w:tr>
    </w:tbl>
    <w:p w14:paraId="1D3105A7">
      <w:pPr>
        <w:shd w:val="clear" w:color="auto" w:fill="FFFFFF" w:themeFill="background1"/>
        <w:spacing w:line="360" w:lineRule="atLeast"/>
        <w:rPr>
          <w:rFonts w:asciiTheme="minorEastAsia" w:hAnsiTheme="minorEastAsia"/>
          <w:color w:val="333333"/>
          <w:szCs w:val="21"/>
        </w:rPr>
      </w:pPr>
    </w:p>
    <w:p w14:paraId="06FE321A">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二、交货期： </w:t>
      </w:r>
    </w:p>
    <w:p w14:paraId="2BDD2EFE">
      <w:pPr>
        <w:shd w:val="clear" w:color="auto" w:fill="FFFFFF" w:themeFill="background1"/>
        <w:spacing w:line="360" w:lineRule="atLeast"/>
        <w:ind w:firstLine="240"/>
        <w:rPr>
          <w:rFonts w:asciiTheme="minorEastAsia" w:hAnsiTheme="minorEastAsia"/>
          <w:color w:val="333333"/>
          <w:sz w:val="18"/>
          <w:szCs w:val="18"/>
        </w:rPr>
      </w:pPr>
      <w:r>
        <w:rPr>
          <w:rFonts w:hint="eastAsia" w:asciiTheme="minorEastAsia" w:hAnsiTheme="minorEastAsia"/>
          <w:color w:val="333333"/>
        </w:rPr>
        <w:t>我公司承诺按合同要求</w:t>
      </w:r>
      <w:r>
        <w:rPr>
          <w:rFonts w:hint="eastAsia" w:asciiTheme="minorEastAsia" w:hAnsiTheme="minorEastAsia"/>
          <w:color w:val="333333"/>
          <w:u w:val="single"/>
        </w:rPr>
        <w:t>     </w:t>
      </w:r>
      <w:r>
        <w:rPr>
          <w:rFonts w:hint="eastAsia" w:asciiTheme="minorEastAsia" w:hAnsiTheme="minorEastAsia"/>
          <w:color w:val="333333"/>
        </w:rPr>
        <w:t>日历天内供货至采购人指定地点，并交付且验收合格。 </w:t>
      </w:r>
    </w:p>
    <w:p w14:paraId="4686C579">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三、技术支持与服务承诺</w:t>
      </w:r>
    </w:p>
    <w:p w14:paraId="42BB5A7A">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1、质量保证及售后服务承诺</w:t>
      </w:r>
    </w:p>
    <w:p w14:paraId="21CD4E4B">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2、供应商认为需要提供的其他内容</w:t>
      </w:r>
    </w:p>
    <w:p w14:paraId="2C4EB0D2">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四、资格证明文件及相关资料 </w:t>
      </w:r>
    </w:p>
    <w:p w14:paraId="4C6E553B">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1、营业执照；</w:t>
      </w:r>
    </w:p>
    <w:p w14:paraId="0F0FCA02">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2、税务登记证；</w:t>
      </w:r>
    </w:p>
    <w:p w14:paraId="36075E99">
      <w:pPr>
        <w:shd w:val="clear" w:color="auto" w:fill="FFFFFF" w:themeFill="background1"/>
        <w:spacing w:line="270" w:lineRule="atLeast"/>
        <w:ind w:firstLine="480"/>
        <w:rPr>
          <w:rFonts w:asciiTheme="minorEastAsia" w:hAnsiTheme="minorEastAsia"/>
          <w:color w:val="333333"/>
          <w:sz w:val="18"/>
          <w:szCs w:val="18"/>
        </w:rPr>
      </w:pPr>
      <w:r>
        <w:rPr>
          <w:rFonts w:hint="eastAsia" w:asciiTheme="minorEastAsia" w:hAnsiTheme="minorEastAsia"/>
          <w:color w:val="333333"/>
        </w:rPr>
        <w:t>（如为三证合一的，只需提供三证合一的营业执照）</w:t>
      </w:r>
    </w:p>
    <w:p w14:paraId="03D76320">
      <w:pPr>
        <w:shd w:val="clear" w:color="auto" w:fill="FFFFFF" w:themeFill="background1"/>
        <w:spacing w:line="270" w:lineRule="atLeast"/>
        <w:ind w:left="780" w:hanging="360"/>
        <w:rPr>
          <w:rFonts w:asciiTheme="minorEastAsia" w:hAnsiTheme="minorEastAsia"/>
          <w:color w:val="333333"/>
          <w:sz w:val="18"/>
          <w:szCs w:val="18"/>
        </w:rPr>
      </w:pPr>
      <w:r>
        <w:rPr>
          <w:rFonts w:hint="eastAsia" w:asciiTheme="minorEastAsia" w:hAnsiTheme="minorEastAsia"/>
          <w:color w:val="333333"/>
        </w:rPr>
        <w:t>3、医疗器械生产许可证、医疗器械经营许可证(或备案凭证)等资质证书；</w:t>
      </w:r>
    </w:p>
    <w:p w14:paraId="4BDC93FE">
      <w:pPr>
        <w:shd w:val="clear" w:color="auto" w:fill="FFFFFF" w:themeFill="background1"/>
        <w:spacing w:line="270" w:lineRule="atLeast"/>
        <w:ind w:left="420"/>
        <w:rPr>
          <w:rFonts w:asciiTheme="minorEastAsia" w:hAnsiTheme="minorEastAsia"/>
          <w:color w:val="333333"/>
          <w:sz w:val="18"/>
          <w:szCs w:val="18"/>
        </w:rPr>
      </w:pPr>
      <w:r>
        <w:rPr>
          <w:rFonts w:hint="eastAsia" w:asciiTheme="minorEastAsia" w:hAnsiTheme="minorEastAsia"/>
          <w:color w:val="333333"/>
        </w:rPr>
        <w:t>4、</w:t>
      </w:r>
      <w:r>
        <w:rPr>
          <w:rFonts w:hint="eastAsia" w:cs="宋体" w:asciiTheme="minorEastAsia" w:hAnsiTheme="minorEastAsia"/>
          <w:color w:val="454545"/>
          <w:kern w:val="0"/>
          <w:sz w:val="24"/>
          <w:szCs w:val="24"/>
        </w:rPr>
        <w:t>产品注册证、注册登记表</w:t>
      </w:r>
    </w:p>
    <w:p w14:paraId="66F54043">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b/>
          <w:bCs/>
          <w:color w:val="333333"/>
        </w:rPr>
        <w:t>五、联系方式：</w:t>
      </w:r>
      <w:r>
        <w:rPr>
          <w:rFonts w:hint="eastAsia" w:asciiTheme="minorEastAsia" w:hAnsiTheme="minorEastAsia"/>
          <w:color w:val="333333"/>
        </w:rPr>
        <w:t> </w:t>
      </w:r>
    </w:p>
    <w:p w14:paraId="1C16974F">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联系人：</w:t>
      </w:r>
      <w:r>
        <w:rPr>
          <w:rFonts w:hint="eastAsia" w:asciiTheme="minorEastAsia" w:hAnsiTheme="minorEastAsia"/>
          <w:color w:val="333333"/>
          <w:u w:val="single"/>
        </w:rPr>
        <w:t>             </w:t>
      </w:r>
      <w:r>
        <w:rPr>
          <w:rFonts w:hint="eastAsia" w:asciiTheme="minorEastAsia" w:hAnsiTheme="minorEastAsia"/>
          <w:color w:val="333333"/>
        </w:rPr>
        <w:t> </w:t>
      </w:r>
    </w:p>
    <w:p w14:paraId="3DB425D0">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电   话：</w:t>
      </w:r>
      <w:r>
        <w:rPr>
          <w:rFonts w:hint="eastAsia" w:asciiTheme="minorEastAsia" w:hAnsiTheme="minorEastAsia"/>
          <w:color w:val="333333"/>
          <w:u w:val="single"/>
        </w:rPr>
        <w:t>                </w:t>
      </w:r>
      <w:r>
        <w:rPr>
          <w:rFonts w:hint="eastAsia" w:asciiTheme="minorEastAsia" w:hAnsiTheme="minorEastAsia"/>
          <w:color w:val="333333"/>
        </w:rPr>
        <w:t>  </w:t>
      </w:r>
    </w:p>
    <w:p w14:paraId="28732522">
      <w:pPr>
        <w:shd w:val="clear" w:color="auto" w:fill="FFFFFF" w:themeFill="background1"/>
        <w:spacing w:line="360" w:lineRule="atLeast"/>
        <w:ind w:firstLine="360"/>
        <w:rPr>
          <w:rFonts w:asciiTheme="minorEastAsia" w:hAnsiTheme="minorEastAsia"/>
          <w:color w:val="333333"/>
          <w:sz w:val="18"/>
          <w:szCs w:val="18"/>
        </w:rPr>
      </w:pPr>
      <w:r>
        <w:rPr>
          <w:rFonts w:hint="eastAsia" w:asciiTheme="minorEastAsia" w:hAnsiTheme="minorEastAsia"/>
          <w:color w:val="333333"/>
        </w:rPr>
        <w:t>地  址：</w:t>
      </w:r>
      <w:r>
        <w:rPr>
          <w:rFonts w:hint="eastAsia" w:asciiTheme="minorEastAsia" w:hAnsiTheme="minorEastAsia"/>
          <w:color w:val="333333"/>
          <w:u w:val="single"/>
        </w:rPr>
        <w:t>            </w:t>
      </w:r>
      <w:r>
        <w:rPr>
          <w:rFonts w:hint="eastAsia" w:asciiTheme="minorEastAsia" w:hAnsiTheme="minorEastAsia"/>
          <w:color w:val="333333"/>
        </w:rPr>
        <w:t>       </w:t>
      </w:r>
    </w:p>
    <w:p w14:paraId="48639E99">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供应商名称(加盖公章)：</w:t>
      </w:r>
      <w:r>
        <w:rPr>
          <w:rFonts w:cs="Times New Roman" w:asciiTheme="minorEastAsia" w:hAnsiTheme="minorEastAsia"/>
          <w:color w:val="333333"/>
        </w:rPr>
        <w:t> </w:t>
      </w:r>
      <w:r>
        <w:rPr>
          <w:rFonts w:cs="Times New Roman" w:asciiTheme="minorEastAsia" w:hAnsiTheme="minorEastAsia"/>
          <w:color w:val="333333"/>
          <w:u w:val="single"/>
        </w:rPr>
        <w:t>                          </w:t>
      </w:r>
      <w:r>
        <w:rPr>
          <w:rFonts w:cs="Times New Roman" w:asciiTheme="minorEastAsia" w:hAnsiTheme="minorEastAsia"/>
          <w:color w:val="333333"/>
        </w:rPr>
        <w:t> </w:t>
      </w:r>
    </w:p>
    <w:p w14:paraId="1C602D1E">
      <w:pPr>
        <w:shd w:val="clear" w:color="auto" w:fill="FFFFFF" w:themeFill="background1"/>
        <w:spacing w:line="360" w:lineRule="atLeast"/>
        <w:rPr>
          <w:rFonts w:asciiTheme="minorEastAsia" w:hAnsiTheme="minorEastAsia"/>
          <w:color w:val="333333"/>
          <w:sz w:val="18"/>
          <w:szCs w:val="18"/>
        </w:rPr>
      </w:pPr>
      <w:r>
        <w:rPr>
          <w:rFonts w:cs="Times New Roman" w:asciiTheme="minorEastAsia" w:hAnsiTheme="minorEastAsia"/>
          <w:color w:val="333333"/>
        </w:rPr>
        <w:t>    </w:t>
      </w:r>
      <w:r>
        <w:rPr>
          <w:rFonts w:hint="eastAsia" w:asciiTheme="minorEastAsia" w:hAnsiTheme="minorEastAsia"/>
          <w:color w:val="333333"/>
        </w:rPr>
        <w:t>法定代表人签字或盖章：</w:t>
      </w:r>
      <w:r>
        <w:rPr>
          <w:rFonts w:cs="Times New Roman" w:asciiTheme="minorEastAsia" w:hAnsiTheme="minorEastAsia"/>
          <w:color w:val="333333"/>
        </w:rPr>
        <w:t> </w:t>
      </w:r>
      <w:r>
        <w:rPr>
          <w:rFonts w:cs="Times New Roman" w:asciiTheme="minorEastAsia" w:hAnsiTheme="minorEastAsia"/>
          <w:color w:val="333333"/>
          <w:u w:val="single"/>
        </w:rPr>
        <w:t>                            </w:t>
      </w:r>
      <w:r>
        <w:rPr>
          <w:rFonts w:cs="Times New Roman" w:asciiTheme="minorEastAsia" w:hAnsiTheme="minorEastAsia"/>
          <w:color w:val="333333"/>
        </w:rPr>
        <w:t>   </w:t>
      </w:r>
    </w:p>
    <w:p w14:paraId="3DFEFF6F">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w:t>
      </w:r>
      <w:r>
        <w:rPr>
          <w:rFonts w:cs="Times New Roman" w:asciiTheme="minorEastAsia" w:hAnsiTheme="minorEastAsia"/>
          <w:color w:val="333333"/>
        </w:rPr>
        <w:t>        </w:t>
      </w:r>
    </w:p>
    <w:p w14:paraId="2DA8A63F">
      <w:pPr>
        <w:shd w:val="clear" w:color="auto" w:fill="FFFFFF" w:themeFill="background1"/>
        <w:spacing w:line="360" w:lineRule="atLeast"/>
        <w:rPr>
          <w:rFonts w:asciiTheme="minorEastAsia" w:hAnsiTheme="minorEastAsia"/>
          <w:color w:val="333333"/>
          <w:sz w:val="18"/>
          <w:szCs w:val="18"/>
        </w:rPr>
      </w:pPr>
      <w:r>
        <w:rPr>
          <w:rFonts w:hint="eastAsia" w:asciiTheme="minorEastAsia" w:hAnsiTheme="minorEastAsia"/>
          <w:color w:val="333333"/>
        </w:rPr>
        <w:t>                    年   月  日</w:t>
      </w:r>
    </w:p>
    <w:p w14:paraId="6A0619C4">
      <w:pPr>
        <w:widowControl/>
        <w:shd w:val="clear" w:color="auto" w:fill="FFFFFF" w:themeFill="background1"/>
        <w:spacing w:before="100" w:beforeAutospacing="1" w:after="100" w:afterAutospacing="1" w:line="360" w:lineRule="atLeast"/>
        <w:jc w:val="left"/>
        <w:rPr>
          <w:rFonts w:asciiTheme="minorEastAsia" w:hAnsiTheme="minorEastAsia"/>
        </w:rPr>
      </w:pPr>
      <w:r>
        <w:rPr>
          <w:rFonts w:asciiTheme="minorEastAsia" w:hAnsiTheme="minorEastAsia"/>
        </w:rPr>
        <w:br w:type="textWrapping"/>
      </w:r>
      <w:r>
        <w:rPr>
          <w:rFonts w:hint="eastAsia" w:asciiTheme="minorEastAsia" w:hAnsiTheme="minorEastAsia"/>
          <w:color w:val="333333"/>
        </w:rPr>
        <w:t xml:space="preserve">附件二：                    </w:t>
      </w:r>
    </w:p>
    <w:p w14:paraId="6FB14DE0">
      <w:pPr>
        <w:widowControl/>
        <w:spacing w:before="100" w:beforeAutospacing="1" w:after="100" w:afterAutospacing="1" w:line="360" w:lineRule="atLeast"/>
        <w:jc w:val="left"/>
        <w:rPr>
          <w:rFonts w:cs="宋体" w:asciiTheme="minorEastAsia" w:hAnsiTheme="minorEastAsia"/>
          <w:color w:val="333333"/>
          <w:kern w:val="0"/>
          <w:sz w:val="24"/>
          <w:szCs w:val="24"/>
        </w:rPr>
      </w:pPr>
    </w:p>
    <w:p w14:paraId="7AD7BF66">
      <w:pPr>
        <w:widowControl/>
        <w:spacing w:before="100" w:beforeAutospacing="1" w:after="100" w:afterAutospacing="1" w:line="360" w:lineRule="atLeast"/>
        <w:jc w:val="center"/>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合同主要条款</w:t>
      </w:r>
    </w:p>
    <w:p w14:paraId="322A4518">
      <w:pPr>
        <w:widowControl/>
        <w:spacing w:before="100" w:beforeAutospacing="1" w:after="100" w:afterAutospacing="1" w:line="600" w:lineRule="exact"/>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甲方（采购人）：</w:t>
      </w:r>
      <w:r>
        <w:rPr>
          <w:rFonts w:hint="eastAsia" w:cs="宋体" w:asciiTheme="minorEastAsia" w:hAnsiTheme="minorEastAsia"/>
          <w:color w:val="333333"/>
          <w:kern w:val="0"/>
          <w:sz w:val="24"/>
          <w:szCs w:val="24"/>
          <w:u w:val="single"/>
        </w:rPr>
        <w:t xml:space="preserve">                  </w:t>
      </w:r>
    </w:p>
    <w:p w14:paraId="14C2D53E">
      <w:pPr>
        <w:widowControl/>
        <w:spacing w:before="100" w:beforeAutospacing="1" w:after="100" w:afterAutospacing="1" w:line="600" w:lineRule="exact"/>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乙方（成交人）：</w:t>
      </w:r>
      <w:r>
        <w:rPr>
          <w:rFonts w:hint="eastAsia" w:cs="宋体" w:asciiTheme="minorEastAsia" w:hAnsiTheme="minorEastAsia"/>
          <w:color w:val="333333"/>
          <w:kern w:val="0"/>
          <w:sz w:val="24"/>
          <w:szCs w:val="24"/>
          <w:u w:val="single"/>
        </w:rPr>
        <w:t>                  </w:t>
      </w:r>
    </w:p>
    <w:p w14:paraId="59414FB9">
      <w:pPr>
        <w:widowControl/>
        <w:spacing w:line="600" w:lineRule="exact"/>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根据《中华人民共和国合同法》及</w:t>
      </w:r>
      <w:r>
        <w:rPr>
          <w:rFonts w:hint="eastAsia" w:cs="宋体" w:asciiTheme="minorEastAsia" w:hAnsiTheme="minorEastAsia"/>
          <w:color w:val="333333"/>
          <w:kern w:val="0"/>
          <w:sz w:val="24"/>
          <w:szCs w:val="24"/>
          <w:u w:val="single"/>
        </w:rPr>
        <w:t>              （项目名称）</w:t>
      </w:r>
      <w:r>
        <w:rPr>
          <w:rFonts w:hint="eastAsia" w:cs="宋体" w:asciiTheme="minorEastAsia" w:hAnsiTheme="minorEastAsia"/>
          <w:color w:val="333333"/>
          <w:kern w:val="0"/>
          <w:sz w:val="24"/>
          <w:szCs w:val="24"/>
        </w:rPr>
        <w:t>的询价公告、报价函等，甲、乙双方经协商一致，签订如下合同条款，并共同遵守。</w:t>
      </w:r>
    </w:p>
    <w:p w14:paraId="51DA0570">
      <w:pPr>
        <w:widowControl/>
        <w:spacing w:line="600" w:lineRule="exact"/>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一、货物名称、生产厂家、品牌、金额</w:t>
      </w:r>
    </w:p>
    <w:tbl>
      <w:tblPr>
        <w:tblStyle w:val="8"/>
        <w:tblW w:w="8423" w:type="dxa"/>
        <w:tblInd w:w="95" w:type="dxa"/>
        <w:tblLayout w:type="autofit"/>
        <w:tblCellMar>
          <w:top w:w="0" w:type="dxa"/>
          <w:left w:w="108" w:type="dxa"/>
          <w:bottom w:w="0" w:type="dxa"/>
          <w:right w:w="108" w:type="dxa"/>
        </w:tblCellMar>
      </w:tblPr>
      <w:tblGrid>
        <w:gridCol w:w="694"/>
        <w:gridCol w:w="1130"/>
        <w:gridCol w:w="1035"/>
        <w:gridCol w:w="1128"/>
        <w:gridCol w:w="1294"/>
        <w:gridCol w:w="1072"/>
        <w:gridCol w:w="1035"/>
        <w:gridCol w:w="1035"/>
      </w:tblGrid>
      <w:tr w14:paraId="4B8808C4">
        <w:tblPrEx>
          <w:tblCellMar>
            <w:top w:w="0" w:type="dxa"/>
            <w:left w:w="108" w:type="dxa"/>
            <w:bottom w:w="0" w:type="dxa"/>
            <w:right w:w="108" w:type="dxa"/>
          </w:tblCellMar>
        </w:tblPrEx>
        <w:trPr>
          <w:trHeight w:val="675" w:hRule="atLeast"/>
        </w:trPr>
        <w:tc>
          <w:tcPr>
            <w:tcW w:w="6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120ED">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包号</w:t>
            </w:r>
          </w:p>
        </w:tc>
        <w:tc>
          <w:tcPr>
            <w:tcW w:w="1130" w:type="dxa"/>
            <w:tcBorders>
              <w:top w:val="single" w:color="auto" w:sz="4" w:space="0"/>
              <w:left w:val="nil"/>
              <w:bottom w:val="single" w:color="auto" w:sz="4" w:space="0"/>
              <w:right w:val="single" w:color="auto" w:sz="4" w:space="0"/>
            </w:tcBorders>
            <w:shd w:val="clear" w:color="auto" w:fill="auto"/>
            <w:noWrap/>
            <w:vAlign w:val="center"/>
          </w:tcPr>
          <w:p w14:paraId="5D95D9D9">
            <w:pPr>
              <w:widowControl/>
              <w:jc w:val="center"/>
              <w:rPr>
                <w:rFonts w:cs="宋体" w:asciiTheme="minorEastAsia" w:hAnsiTheme="minorEastAsia"/>
                <w:color w:val="000000"/>
                <w:kern w:val="0"/>
                <w:sz w:val="24"/>
                <w:szCs w:val="24"/>
              </w:rPr>
            </w:pPr>
            <w:r>
              <w:rPr>
                <w:rFonts w:hint="eastAsia" w:cs="Arial" w:asciiTheme="minorEastAsia" w:hAnsiTheme="minorEastAsia"/>
                <w:sz w:val="24"/>
                <w:szCs w:val="24"/>
              </w:rPr>
              <w:t>货物名称</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4ED1C2CB">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规格</w:t>
            </w:r>
          </w:p>
        </w:tc>
        <w:tc>
          <w:tcPr>
            <w:tcW w:w="1128" w:type="dxa"/>
            <w:tcBorders>
              <w:top w:val="single" w:color="auto" w:sz="4" w:space="0"/>
              <w:left w:val="nil"/>
              <w:bottom w:val="single" w:color="auto" w:sz="4" w:space="0"/>
              <w:right w:val="single" w:color="auto" w:sz="4" w:space="0"/>
            </w:tcBorders>
            <w:vAlign w:val="center"/>
          </w:tcPr>
          <w:p w14:paraId="622A69CD">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生产企业</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E5DCE">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询价要求符合情况(适用于具体设备及型号)</w:t>
            </w:r>
          </w:p>
        </w:tc>
        <w:tc>
          <w:tcPr>
            <w:tcW w:w="1072" w:type="dxa"/>
            <w:tcBorders>
              <w:top w:val="single" w:color="auto" w:sz="4" w:space="0"/>
              <w:left w:val="nil"/>
              <w:bottom w:val="single" w:color="auto" w:sz="4" w:space="0"/>
              <w:right w:val="single" w:color="auto" w:sz="4" w:space="0"/>
            </w:tcBorders>
            <w:vAlign w:val="center"/>
          </w:tcPr>
          <w:p w14:paraId="5E42CA57">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单价</w:t>
            </w:r>
          </w:p>
        </w:tc>
        <w:tc>
          <w:tcPr>
            <w:tcW w:w="1035" w:type="dxa"/>
            <w:tcBorders>
              <w:top w:val="single" w:color="auto" w:sz="4" w:space="0"/>
              <w:left w:val="nil"/>
              <w:bottom w:val="single" w:color="auto" w:sz="4" w:space="0"/>
              <w:right w:val="single" w:color="auto" w:sz="4" w:space="0"/>
            </w:tcBorders>
            <w:vAlign w:val="center"/>
          </w:tcPr>
          <w:p w14:paraId="3440A46E">
            <w:pPr>
              <w:widowControl/>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总价</w:t>
            </w:r>
          </w:p>
        </w:tc>
        <w:tc>
          <w:tcPr>
            <w:tcW w:w="1035" w:type="dxa"/>
            <w:tcBorders>
              <w:top w:val="single" w:color="auto" w:sz="4" w:space="0"/>
              <w:left w:val="nil"/>
              <w:bottom w:val="single" w:color="auto" w:sz="4" w:space="0"/>
              <w:right w:val="single" w:color="auto" w:sz="4" w:space="0"/>
            </w:tcBorders>
            <w:vAlign w:val="center"/>
          </w:tcPr>
          <w:p w14:paraId="64DA0B5F">
            <w:pPr>
              <w:widowControl/>
              <w:jc w:val="center"/>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流水号</w:t>
            </w:r>
          </w:p>
        </w:tc>
      </w:tr>
      <w:tr w14:paraId="0796ADA0">
        <w:tblPrEx>
          <w:tblCellMar>
            <w:top w:w="0" w:type="dxa"/>
            <w:left w:w="108" w:type="dxa"/>
            <w:bottom w:w="0" w:type="dxa"/>
            <w:right w:w="108" w:type="dxa"/>
          </w:tblCellMar>
        </w:tblPrEx>
        <w:trPr>
          <w:trHeight w:val="522" w:hRule="atLeast"/>
        </w:trPr>
        <w:tc>
          <w:tcPr>
            <w:tcW w:w="694" w:type="dxa"/>
            <w:tcBorders>
              <w:top w:val="nil"/>
              <w:left w:val="single" w:color="auto" w:sz="4" w:space="0"/>
              <w:bottom w:val="single" w:color="auto" w:sz="4" w:space="0"/>
              <w:right w:val="single" w:color="auto" w:sz="4" w:space="0"/>
            </w:tcBorders>
            <w:shd w:val="clear" w:color="auto" w:fill="auto"/>
            <w:noWrap/>
            <w:vAlign w:val="center"/>
          </w:tcPr>
          <w:p w14:paraId="14371D1D">
            <w:pPr>
              <w:widowControl/>
              <w:ind w:right="110"/>
              <w:jc w:val="right"/>
              <w:rPr>
                <w:rFonts w:cs="宋体" w:asciiTheme="minorEastAsia" w:hAnsiTheme="minorEastAsia"/>
                <w:color w:val="000000"/>
                <w:kern w:val="0"/>
                <w:sz w:val="22"/>
              </w:rPr>
            </w:pPr>
          </w:p>
        </w:tc>
        <w:tc>
          <w:tcPr>
            <w:tcW w:w="1130" w:type="dxa"/>
            <w:tcBorders>
              <w:top w:val="nil"/>
              <w:left w:val="nil"/>
              <w:bottom w:val="single" w:color="auto" w:sz="4" w:space="0"/>
              <w:right w:val="single" w:color="auto" w:sz="4" w:space="0"/>
            </w:tcBorders>
            <w:shd w:val="clear" w:color="auto" w:fill="auto"/>
            <w:noWrap/>
            <w:vAlign w:val="center"/>
          </w:tcPr>
          <w:p w14:paraId="43781F76">
            <w:pPr>
              <w:widowControl/>
              <w:jc w:val="left"/>
              <w:rPr>
                <w:rFonts w:cs="宋体" w:asciiTheme="minorEastAsia" w:hAnsiTheme="minorEastAsia"/>
                <w:color w:val="000000"/>
                <w:kern w:val="0"/>
                <w:sz w:val="22"/>
              </w:rPr>
            </w:pPr>
          </w:p>
        </w:tc>
        <w:tc>
          <w:tcPr>
            <w:tcW w:w="1035" w:type="dxa"/>
            <w:tcBorders>
              <w:top w:val="nil"/>
              <w:left w:val="nil"/>
              <w:bottom w:val="single" w:color="auto" w:sz="4" w:space="0"/>
              <w:right w:val="single" w:color="auto" w:sz="4" w:space="0"/>
            </w:tcBorders>
            <w:shd w:val="clear" w:color="auto" w:fill="auto"/>
            <w:noWrap/>
            <w:vAlign w:val="center"/>
          </w:tcPr>
          <w:p w14:paraId="40939F07">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1128" w:type="dxa"/>
            <w:tcBorders>
              <w:top w:val="single" w:color="auto" w:sz="4" w:space="0"/>
              <w:left w:val="nil"/>
              <w:bottom w:val="single" w:color="auto" w:sz="4" w:space="0"/>
              <w:right w:val="single" w:color="auto" w:sz="4" w:space="0"/>
            </w:tcBorders>
          </w:tcPr>
          <w:p w14:paraId="13F26CAF">
            <w:pPr>
              <w:widowControl/>
              <w:jc w:val="left"/>
              <w:rPr>
                <w:rFonts w:cs="宋体" w:asciiTheme="minorEastAsia" w:hAnsiTheme="minorEastAsia"/>
                <w:color w:val="000000"/>
                <w:kern w:val="0"/>
                <w:sz w:val="22"/>
              </w:rPr>
            </w:pPr>
          </w:p>
        </w:tc>
        <w:tc>
          <w:tcPr>
            <w:tcW w:w="1294" w:type="dxa"/>
            <w:tcBorders>
              <w:top w:val="nil"/>
              <w:left w:val="single" w:color="auto" w:sz="4" w:space="0"/>
              <w:bottom w:val="single" w:color="auto" w:sz="4" w:space="0"/>
              <w:right w:val="single" w:color="auto" w:sz="4" w:space="0"/>
            </w:tcBorders>
            <w:shd w:val="clear" w:color="auto" w:fill="auto"/>
            <w:noWrap/>
            <w:vAlign w:val="center"/>
          </w:tcPr>
          <w:p w14:paraId="554B110F">
            <w:pPr>
              <w:widowControl/>
              <w:jc w:val="left"/>
              <w:rPr>
                <w:rFonts w:cs="宋体" w:asciiTheme="minorEastAsia" w:hAnsiTheme="minorEastAsia"/>
                <w:color w:val="000000"/>
                <w:kern w:val="0"/>
                <w:sz w:val="22"/>
              </w:rPr>
            </w:pPr>
            <w:r>
              <w:rPr>
                <w:rFonts w:hint="eastAsia" w:cs="宋体" w:asciiTheme="minorEastAsia" w:hAnsiTheme="minorEastAsia"/>
                <w:color w:val="000000"/>
                <w:kern w:val="0"/>
                <w:sz w:val="22"/>
              </w:rPr>
              <w:t>　</w:t>
            </w:r>
          </w:p>
        </w:tc>
        <w:tc>
          <w:tcPr>
            <w:tcW w:w="1072" w:type="dxa"/>
            <w:tcBorders>
              <w:top w:val="nil"/>
              <w:left w:val="nil"/>
              <w:bottom w:val="single" w:color="auto" w:sz="4" w:space="0"/>
              <w:right w:val="single" w:color="auto" w:sz="4" w:space="0"/>
            </w:tcBorders>
            <w:vAlign w:val="center"/>
          </w:tcPr>
          <w:p w14:paraId="2852A705">
            <w:pPr>
              <w:widowControl/>
              <w:jc w:val="center"/>
              <w:rPr>
                <w:rFonts w:cs="宋体" w:asciiTheme="minorEastAsia" w:hAnsiTheme="minorEastAsia"/>
                <w:color w:val="000000"/>
                <w:kern w:val="0"/>
                <w:sz w:val="22"/>
              </w:rPr>
            </w:pPr>
          </w:p>
        </w:tc>
        <w:tc>
          <w:tcPr>
            <w:tcW w:w="1035" w:type="dxa"/>
            <w:tcBorders>
              <w:top w:val="nil"/>
              <w:left w:val="nil"/>
              <w:bottom w:val="single" w:color="auto" w:sz="4" w:space="0"/>
              <w:right w:val="single" w:color="auto" w:sz="4" w:space="0"/>
            </w:tcBorders>
          </w:tcPr>
          <w:p w14:paraId="0CF8F38D">
            <w:pPr>
              <w:widowControl/>
              <w:jc w:val="center"/>
              <w:rPr>
                <w:rFonts w:cs="宋体" w:asciiTheme="minorEastAsia" w:hAnsiTheme="minorEastAsia"/>
                <w:color w:val="000000"/>
                <w:kern w:val="0"/>
                <w:sz w:val="22"/>
              </w:rPr>
            </w:pPr>
          </w:p>
        </w:tc>
        <w:tc>
          <w:tcPr>
            <w:tcW w:w="1035" w:type="dxa"/>
            <w:tcBorders>
              <w:top w:val="nil"/>
              <w:left w:val="nil"/>
              <w:bottom w:val="single" w:color="auto" w:sz="4" w:space="0"/>
              <w:right w:val="single" w:color="auto" w:sz="4" w:space="0"/>
            </w:tcBorders>
          </w:tcPr>
          <w:p w14:paraId="78CA8623">
            <w:pPr>
              <w:widowControl/>
              <w:jc w:val="center"/>
              <w:rPr>
                <w:rFonts w:cs="宋体" w:asciiTheme="minorEastAsia" w:hAnsiTheme="minorEastAsia"/>
                <w:color w:val="000000"/>
                <w:kern w:val="0"/>
                <w:sz w:val="22"/>
              </w:rPr>
            </w:pPr>
          </w:p>
        </w:tc>
      </w:tr>
    </w:tbl>
    <w:p w14:paraId="7F03B678">
      <w:pPr>
        <w:widowControl/>
        <w:spacing w:line="600" w:lineRule="exact"/>
        <w:jc w:val="left"/>
        <w:rPr>
          <w:rFonts w:cs="宋体" w:asciiTheme="minorEastAsia" w:hAnsiTheme="minorEastAsia"/>
          <w:color w:val="333333"/>
          <w:kern w:val="0"/>
          <w:sz w:val="24"/>
          <w:szCs w:val="24"/>
        </w:rPr>
      </w:pPr>
    </w:p>
    <w:p w14:paraId="73677E50">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本合同所列货物首先须满足询价公告要求，其次与成交单位的报价函一致。总价包括但不限于货物的全部价款、税费、运输、装卸、安装、调试、技术指导、咨询、检测、招标代理服务费等验收合格交付使用之前发生的所有费用以及技术和售后服务等其他各项与之有关所有费用。</w:t>
      </w:r>
    </w:p>
    <w:p w14:paraId="47090C75">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乙方应提供配送产品的有效合法证件复印件。因证照不符造成甲方的损失由乙方负责。发票或随货同行联应注明产品通用名称、型号规格、产品注册证号、生产企业、批号、有效期、数量、单价、总金额等，否则甲方不予入库。</w:t>
      </w:r>
    </w:p>
    <w:p w14:paraId="1E21CBD4">
      <w:pP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三、甲方根据临床需要做出采购计划,乙方应按甲方采购计划及时供货。保证在</w:t>
      </w:r>
      <w:r>
        <w:rPr>
          <w:rFonts w:hint="eastAsia" w:asciiTheme="minorEastAsia" w:hAnsiTheme="minorEastAsia"/>
          <w:color w:val="333333"/>
          <w:sz w:val="24"/>
          <w:szCs w:val="24"/>
          <w:shd w:val="clear" w:color="auto" w:fill="FDFEFF"/>
        </w:rPr>
        <w:t>三天内将货物送达甲方仓库,紧急情况下6小时送达。</w:t>
      </w:r>
      <w:r>
        <w:rPr>
          <w:rFonts w:hint="eastAsia" w:cs="宋体" w:asciiTheme="minorEastAsia" w:hAnsiTheme="minorEastAsia"/>
          <w:color w:val="333333"/>
          <w:kern w:val="0"/>
          <w:sz w:val="24"/>
          <w:szCs w:val="24"/>
        </w:rPr>
        <w:t>原则上配送检验试剂及配套耗材的剩余有效期，必须占有效期的三分之二以上。</w:t>
      </w:r>
    </w:p>
    <w:p w14:paraId="5BDA63A8">
      <w:pP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四、甲方将按照国家有关规定对乙方提供的产品进行验收，发现质量问题应及时通知乙方召回。发现破损或数量与随货同行联数量不符，乙方应及时调换补发。</w:t>
      </w:r>
    </w:p>
    <w:p w14:paraId="16DC1775">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五、检验试剂及配套耗材如在使用过程中，达不到甲方临床使用要求，或甲方因工作需求需更换检验试剂及配套耗材，甲方有权提出更换该检验试剂及配套耗材，终止合同，并通过询价方式重新采购。</w:t>
      </w:r>
    </w:p>
    <w:p w14:paraId="6FC8732C">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六、乙方应及时提供完善周到的技术支持和售后服务。</w:t>
      </w:r>
    </w:p>
    <w:p w14:paraId="293888C3">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七、因使用乙方提供的产品出现问题时，乙方应及时响应和处理。确因产品质量问题造成甲方损失，乙方应承担全部责任。</w:t>
      </w:r>
    </w:p>
    <w:p w14:paraId="46FA013C">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八、若有产品与国家相关政策冲突时，则涉及该产品的合同自行终止。</w:t>
      </w:r>
    </w:p>
    <w:p w14:paraId="3A6FBBCF">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九、乙方因甲方采购量少拒绝配送或未在约定时间内配送,甲方有权单方面终止合同,记不良行为记录,并保留进一步追偿的权利。</w:t>
      </w:r>
    </w:p>
    <w:p w14:paraId="6A3FBF81">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十、乙方出具的销售服务承诺书及廉洁销售承诺书作为协议组成部分。</w:t>
      </w:r>
    </w:p>
    <w:p w14:paraId="24D4A533">
      <w:pPr>
        <w:widowControl/>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付款方式：</w:t>
      </w:r>
      <w:r>
        <w:rPr>
          <w:rFonts w:hint="eastAsia" w:asciiTheme="minorEastAsia" w:hAnsiTheme="minorEastAsia"/>
          <w:color w:val="333333"/>
          <w:sz w:val="23"/>
          <w:szCs w:val="23"/>
          <w:shd w:val="clear" w:color="auto" w:fill="FFFFFF"/>
        </w:rPr>
        <w:t>按我院财务规定原则支付</w:t>
      </w:r>
      <w:r>
        <w:rPr>
          <w:rFonts w:hint="eastAsia" w:cs="宋体" w:asciiTheme="minorEastAsia" w:hAnsiTheme="minorEastAsia"/>
          <w:color w:val="333333"/>
          <w:kern w:val="0"/>
          <w:sz w:val="24"/>
          <w:szCs w:val="24"/>
        </w:rPr>
        <w:t>。</w:t>
      </w:r>
    </w:p>
    <w:p w14:paraId="3AACF87D">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十一、解决合同纠纷方式</w:t>
      </w:r>
    </w:p>
    <w:p w14:paraId="03602337">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双方可以通过和解或者调解解决合同争议。有一方不愿和解、调解或者和解、调解不成的，可以根据仲裁协议向仲裁机构申请仲裁。双方没有订立仲裁协议或者仲裁协议无效的，可以向太湖县人民法院起诉。</w:t>
      </w:r>
    </w:p>
    <w:p w14:paraId="1FB1DACA">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十二、本合同组成及解释先后顺序</w:t>
      </w:r>
    </w:p>
    <w:p w14:paraId="4F4C511E">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1、询价公告；</w:t>
      </w:r>
    </w:p>
    <w:p w14:paraId="55624578">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2、本合同文本；</w:t>
      </w:r>
    </w:p>
    <w:p w14:paraId="4B256136">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3、其他补充约定事项。</w:t>
      </w:r>
    </w:p>
    <w:p w14:paraId="24358107">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十三、本合同自双方法人代表或授权代表签字并加盖公章即生效。</w:t>
      </w:r>
    </w:p>
    <w:p w14:paraId="291E7E53">
      <w:pPr>
        <w:widowControl/>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kern w:val="0"/>
          <w:sz w:val="24"/>
          <w:szCs w:val="24"/>
        </w:rPr>
        <w:t>十四、本合同一式四份，甲、乙双方各二份,</w:t>
      </w:r>
      <w:r>
        <w:rPr>
          <w:rFonts w:hint="eastAsia" w:cs="宋体" w:asciiTheme="minorEastAsia" w:hAnsiTheme="minorEastAsia"/>
          <w:color w:val="333333"/>
          <w:kern w:val="0"/>
          <w:sz w:val="24"/>
          <w:szCs w:val="24"/>
        </w:rPr>
        <w:t>均具有同等法律效力。</w:t>
      </w:r>
    </w:p>
    <w:p w14:paraId="1C56EC1D">
      <w:pPr>
        <w:widowControl/>
        <w:ind w:firstLine="480" w:firstLineChars="200"/>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甲方（盖章）：                       乙方（盖章）：      </w:t>
      </w:r>
    </w:p>
    <w:p w14:paraId="09079314">
      <w:pPr>
        <w:widowControl/>
        <w:ind w:firstLine="480" w:firstLineChars="200"/>
        <w:jc w:val="center"/>
        <w:rPr>
          <w:rFonts w:cs="宋体" w:asciiTheme="minorEastAsia" w:hAnsiTheme="minorEastAsia"/>
          <w:color w:val="333333"/>
          <w:kern w:val="0"/>
          <w:sz w:val="24"/>
          <w:szCs w:val="24"/>
        </w:rPr>
      </w:pPr>
    </w:p>
    <w:p w14:paraId="6EA8D9E8">
      <w:pPr>
        <w:widowControl/>
        <w:ind w:firstLine="480" w:firstLineChars="200"/>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法定代表人（或授权代表）：          法定代表人（或授权代表）：</w:t>
      </w:r>
    </w:p>
    <w:p w14:paraId="51BFF9A3">
      <w:pPr>
        <w:widowControl/>
        <w:ind w:firstLine="480" w:firstLineChars="200"/>
        <w:jc w:val="center"/>
        <w:rPr>
          <w:rFonts w:cs="宋体" w:asciiTheme="minorEastAsia" w:hAnsiTheme="minorEastAsia"/>
          <w:color w:val="333333"/>
          <w:kern w:val="0"/>
          <w:sz w:val="24"/>
          <w:szCs w:val="24"/>
        </w:rPr>
      </w:pPr>
    </w:p>
    <w:p w14:paraId="3397C246">
      <w:pPr>
        <w:widowControl/>
        <w:ind w:firstLine="480" w:firstLineChars="200"/>
        <w:jc w:val="center"/>
        <w:rPr>
          <w:rFonts w:cs="宋体" w:asciiTheme="minorEastAsia" w:hAnsiTheme="minorEastAsia"/>
          <w:color w:val="333333"/>
          <w:kern w:val="0"/>
          <w:sz w:val="24"/>
          <w:szCs w:val="24"/>
        </w:rPr>
      </w:pPr>
    </w:p>
    <w:p w14:paraId="7DCC9FE2">
      <w:pPr>
        <w:widowControl/>
        <w:ind w:firstLine="480" w:firstLineChars="200"/>
        <w:jc w:val="center"/>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合同签约日期：       年    月   日</w:t>
      </w:r>
    </w:p>
    <w:p w14:paraId="0935717B">
      <w:pPr>
        <w:widowControl/>
        <w:ind w:firstLine="480" w:firstLineChars="200"/>
        <w:rPr>
          <w:rFonts w:hint="eastAsia" w:cs="宋体" w:asciiTheme="minorEastAsia" w:hAnsiTheme="minorEastAsia"/>
          <w:color w:val="333333"/>
          <w:kern w:val="0"/>
          <w:sz w:val="24"/>
          <w:szCs w:val="24"/>
        </w:rPr>
      </w:pPr>
    </w:p>
    <w:p w14:paraId="0FB86DA2">
      <w:pPr>
        <w:widowControl/>
        <w:ind w:firstLine="480" w:firstLineChars="200"/>
        <w:rPr>
          <w:rFonts w:hint="eastAsia" w:cs="宋体" w:asciiTheme="minorEastAsia" w:hAnsiTheme="minorEastAsia"/>
          <w:color w:val="333333"/>
          <w:kern w:val="0"/>
          <w:sz w:val="24"/>
          <w:szCs w:val="24"/>
        </w:rPr>
      </w:pPr>
    </w:p>
    <w:p w14:paraId="39745534">
      <w:pPr>
        <w:tabs>
          <w:tab w:val="left" w:pos="935"/>
        </w:tabs>
        <w:bidi w:val="0"/>
        <w:jc w:val="center"/>
        <w:rPr>
          <w:rFonts w:hint="eastAsia" w:cstheme="minorBidi"/>
          <w:kern w:val="2"/>
          <w:sz w:val="24"/>
          <w:szCs w:val="28"/>
          <w:lang w:val="en-US" w:eastAsia="zh-CN" w:bidi="ar-SA"/>
        </w:rPr>
      </w:pPr>
      <w:r>
        <w:rPr>
          <w:rFonts w:hint="eastAsia" w:cstheme="minorBidi"/>
          <w:kern w:val="2"/>
          <w:sz w:val="24"/>
          <w:szCs w:val="28"/>
          <w:lang w:val="en-US" w:eastAsia="zh-CN" w:bidi="ar-SA"/>
        </w:rPr>
        <w:t>医疗卫生机构医药产品廉洁购销合同</w:t>
      </w:r>
    </w:p>
    <w:p w14:paraId="7849A0C1">
      <w:pPr>
        <w:tabs>
          <w:tab w:val="left" w:pos="935"/>
        </w:tabs>
        <w:bidi w:val="0"/>
        <w:jc w:val="left"/>
        <w:rPr>
          <w:rFonts w:hint="eastAsia" w:cstheme="minorBidi"/>
          <w:kern w:val="2"/>
          <w:sz w:val="21"/>
          <w:szCs w:val="22"/>
          <w:lang w:val="en-US" w:eastAsia="zh-CN" w:bidi="ar-SA"/>
        </w:rPr>
      </w:pPr>
    </w:p>
    <w:p w14:paraId="24EA72B5">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甲方（医疗卫生机构）： 太湖县妇幼保健院</w:t>
      </w:r>
    </w:p>
    <w:p w14:paraId="1346366B">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乙方（医药生产经营企业及其代理人）： </w:t>
      </w:r>
    </w:p>
    <w:p w14:paraId="437409DD">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为进一步加强医疗卫生行风建设，规范医疗卫生机构医药购销行为，有效防范商业贿赂行为， 营造公平交易、诚实守信的购销环境，经甲、乙双方协商，同意签订本合同，并共同遵守： </w:t>
      </w:r>
    </w:p>
    <w:p w14:paraId="34F513DC">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一、甲乙双方按照《合同法》及医药产品购销合同约定购销药品、医用耗材、医用设备等医药产品。 </w:t>
      </w:r>
    </w:p>
    <w:p w14:paraId="2ED416D9">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二、甲方应当严格执行医药产品购销合同验收、入库制度，对采购医药产品及发票进行查验，不得违反有关规定合同外采购、违价采购或从非规定渠道采购。 </w:t>
      </w:r>
    </w:p>
    <w:p w14:paraId="6D8A36A7">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三、甲方严禁接受乙方以任何名义、形式给予的回扣，不得将接受捐赠资助与采购挂钩。甲方工作人员不得参加乙方安排并支付费用的营 业性娱乐场所的娱乐活动，不得以任何形式向乙方索要 现金、有价证券、支付凭证和贵重礼品等。被迫接受乙方给予的钱物，应予退还，无法退还的，有责任如实向有关纪检监察部门反映情况。 </w:t>
      </w:r>
    </w:p>
    <w:p w14:paraId="14A0E4A1">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四、严禁甲方工作人员利用任何途径和方式，为乙方统计医师个人及临床科室有关医药产品用 量信息，或为乙方统计提供便利。 </w:t>
      </w:r>
    </w:p>
    <w:p w14:paraId="459F993C">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五、乙方不得以回扣、宴请等方式影响甲方工作人员采购或使用医药产品的选择权，不得在学术活动中提供旅游、超标准支付食宿费用。 </w:t>
      </w:r>
    </w:p>
    <w:p w14:paraId="22ED5E41">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六、乙方指定作为销售代表洽谈业务。销售代表必须在工作时间到甲方指定地点联系商谈，不得到住院部、门诊部、医技科室等推销医药产品，不得借故到甲方相关领导、部门负责人及相关工作人员家中访谈并提供任何好处费。 </w:t>
      </w:r>
    </w:p>
    <w:p w14:paraId="4C926FC0">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七、乙方如违反本合同，一经发现，甲方有权终止购销合同，并向有关卫生计生行政部门报告。如乙方被列入商业贿赂不良记录，则严格按照《国家卫生计生委关于建立医药购销领域商业贿赂不良记录的规定》（国卫法制发〔2013〕50 号）和《安徽省医药购销领域商业贿赂企业不良记录制度实施意见》的相关规定处理。 </w:t>
      </w:r>
    </w:p>
    <w:p w14:paraId="05D2936A">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八、本合同作为医药产品购销合同的重要组成部分，与购销合同一并执行，具有同等的法律效力。</w:t>
      </w:r>
    </w:p>
    <w:p w14:paraId="429F44D5">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九、本合同一式三份，甲、乙双方各执一份，甲方纪检监察部门（基层医疗卫生机构上报上级 卫生计生行政部门）执一份，并从签订之日起生效。 </w:t>
      </w:r>
    </w:p>
    <w:p w14:paraId="31A34894">
      <w:pPr>
        <w:tabs>
          <w:tab w:val="left" w:pos="935"/>
        </w:tabs>
        <w:bidi w:val="0"/>
        <w:jc w:val="left"/>
        <w:rPr>
          <w:rFonts w:hint="eastAsia" w:cstheme="minorBidi"/>
          <w:kern w:val="2"/>
          <w:sz w:val="21"/>
          <w:szCs w:val="22"/>
          <w:lang w:val="en-US" w:eastAsia="zh-CN" w:bidi="ar-SA"/>
        </w:rPr>
      </w:pPr>
    </w:p>
    <w:p w14:paraId="2EB0E6B5">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甲方（盖章）：                        乙方（盖章）： </w:t>
      </w:r>
    </w:p>
    <w:p w14:paraId="6176C9BD">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 xml:space="preserve">法定代表人（负责人）：                法定代表人（负责人）： </w:t>
      </w:r>
    </w:p>
    <w:p w14:paraId="3AD158E9">
      <w:pPr>
        <w:tabs>
          <w:tab w:val="left" w:pos="935"/>
        </w:tabs>
        <w:bidi w:val="0"/>
        <w:jc w:val="left"/>
        <w:rPr>
          <w:rFonts w:hint="eastAsia" w:cstheme="minorBidi"/>
          <w:kern w:val="2"/>
          <w:sz w:val="21"/>
          <w:szCs w:val="22"/>
          <w:lang w:val="en-US" w:eastAsia="zh-CN" w:bidi="ar-SA"/>
        </w:rPr>
      </w:pPr>
    </w:p>
    <w:p w14:paraId="6EBA09A8">
      <w:pPr>
        <w:tabs>
          <w:tab w:val="left" w:pos="935"/>
        </w:tabs>
        <w:bidi w:val="0"/>
        <w:jc w:val="left"/>
        <w:rPr>
          <w:rFonts w:hint="eastAsia" w:cstheme="minorBidi"/>
          <w:kern w:val="2"/>
          <w:sz w:val="21"/>
          <w:szCs w:val="22"/>
          <w:lang w:val="en-US" w:eastAsia="zh-CN" w:bidi="ar-SA"/>
        </w:rPr>
      </w:pPr>
      <w:r>
        <w:rPr>
          <w:rFonts w:hint="eastAsia" w:cstheme="minorBidi"/>
          <w:kern w:val="2"/>
          <w:sz w:val="21"/>
          <w:szCs w:val="22"/>
          <w:lang w:val="en-US" w:eastAsia="zh-CN" w:bidi="ar-SA"/>
        </w:rPr>
        <w:t>经办人签名：</w:t>
      </w:r>
      <w:r>
        <w:rPr>
          <w:rFonts w:hint="eastAsia" w:cstheme="minorBidi"/>
          <w:kern w:val="2"/>
          <w:sz w:val="21"/>
          <w:szCs w:val="22"/>
          <w:lang w:val="en-US" w:eastAsia="zh-CN" w:bidi="ar-SA"/>
        </w:rPr>
        <w:tab/>
      </w:r>
      <w:r>
        <w:rPr>
          <w:rFonts w:hint="eastAsia" w:cstheme="minorBidi"/>
          <w:kern w:val="2"/>
          <w:sz w:val="21"/>
          <w:szCs w:val="22"/>
          <w:lang w:val="en-US" w:eastAsia="zh-CN" w:bidi="ar-SA"/>
        </w:rPr>
        <w:t xml:space="preserve"> 经办人签名：</w:t>
      </w:r>
    </w:p>
    <w:p w14:paraId="48EB6FBD">
      <w:pPr>
        <w:tabs>
          <w:tab w:val="left" w:pos="935"/>
        </w:tabs>
        <w:bidi w:val="0"/>
        <w:jc w:val="left"/>
        <w:rPr>
          <w:rFonts w:hint="eastAsia" w:cstheme="minorBidi"/>
          <w:kern w:val="2"/>
          <w:sz w:val="21"/>
          <w:szCs w:val="22"/>
          <w:lang w:val="en-US" w:eastAsia="zh-CN" w:bidi="ar-SA"/>
        </w:rPr>
      </w:pPr>
    </w:p>
    <w:p w14:paraId="6CBE69EC">
      <w:pPr>
        <w:tabs>
          <w:tab w:val="left" w:pos="935"/>
        </w:tabs>
        <w:bidi w:val="0"/>
        <w:jc w:val="lef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年 月  日                             年  月  日</w:t>
      </w:r>
    </w:p>
    <w:p w14:paraId="2CF40217">
      <w:pPr>
        <w:widowControl/>
        <w:ind w:firstLine="480" w:firstLineChars="20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57"/>
    <w:rsid w:val="0000025B"/>
    <w:rsid w:val="00020B0C"/>
    <w:rsid w:val="000223B0"/>
    <w:rsid w:val="000232F4"/>
    <w:rsid w:val="00050B9D"/>
    <w:rsid w:val="000510C6"/>
    <w:rsid w:val="00052210"/>
    <w:rsid w:val="00054E35"/>
    <w:rsid w:val="00061125"/>
    <w:rsid w:val="0006525C"/>
    <w:rsid w:val="0007101F"/>
    <w:rsid w:val="00073E71"/>
    <w:rsid w:val="00081E8E"/>
    <w:rsid w:val="000912FF"/>
    <w:rsid w:val="000A096F"/>
    <w:rsid w:val="000A5784"/>
    <w:rsid w:val="000A5AF1"/>
    <w:rsid w:val="000A6A53"/>
    <w:rsid w:val="000A7F03"/>
    <w:rsid w:val="000B42EE"/>
    <w:rsid w:val="000B60E5"/>
    <w:rsid w:val="000B79F4"/>
    <w:rsid w:val="000C200F"/>
    <w:rsid w:val="000D2042"/>
    <w:rsid w:val="000D2B05"/>
    <w:rsid w:val="000D42BD"/>
    <w:rsid w:val="000D4890"/>
    <w:rsid w:val="000D7CFD"/>
    <w:rsid w:val="000E3E39"/>
    <w:rsid w:val="000E46EA"/>
    <w:rsid w:val="00103290"/>
    <w:rsid w:val="00104AE4"/>
    <w:rsid w:val="001135A6"/>
    <w:rsid w:val="001148B8"/>
    <w:rsid w:val="00115615"/>
    <w:rsid w:val="001207BD"/>
    <w:rsid w:val="00125E43"/>
    <w:rsid w:val="00131237"/>
    <w:rsid w:val="00131D9D"/>
    <w:rsid w:val="00134BAD"/>
    <w:rsid w:val="00136FE3"/>
    <w:rsid w:val="00161F08"/>
    <w:rsid w:val="001629E5"/>
    <w:rsid w:val="00165A29"/>
    <w:rsid w:val="00165C55"/>
    <w:rsid w:val="00173A46"/>
    <w:rsid w:val="00181DB1"/>
    <w:rsid w:val="00183721"/>
    <w:rsid w:val="00184727"/>
    <w:rsid w:val="00185842"/>
    <w:rsid w:val="001922EA"/>
    <w:rsid w:val="001A5213"/>
    <w:rsid w:val="001B4FB4"/>
    <w:rsid w:val="001C3BA0"/>
    <w:rsid w:val="001C4FD3"/>
    <w:rsid w:val="001D2ADE"/>
    <w:rsid w:val="001E3106"/>
    <w:rsid w:val="001E47C8"/>
    <w:rsid w:val="001E706A"/>
    <w:rsid w:val="001E77B1"/>
    <w:rsid w:val="001F3D10"/>
    <w:rsid w:val="001F615B"/>
    <w:rsid w:val="00216133"/>
    <w:rsid w:val="00231E55"/>
    <w:rsid w:val="00237EB4"/>
    <w:rsid w:val="00243AB2"/>
    <w:rsid w:val="00246F4A"/>
    <w:rsid w:val="00252AAB"/>
    <w:rsid w:val="0025350A"/>
    <w:rsid w:val="00253835"/>
    <w:rsid w:val="00273013"/>
    <w:rsid w:val="0027468A"/>
    <w:rsid w:val="00275ECE"/>
    <w:rsid w:val="00277D1C"/>
    <w:rsid w:val="00280DA7"/>
    <w:rsid w:val="002810CA"/>
    <w:rsid w:val="002810DD"/>
    <w:rsid w:val="00281465"/>
    <w:rsid w:val="00283BA8"/>
    <w:rsid w:val="002904CD"/>
    <w:rsid w:val="00292175"/>
    <w:rsid w:val="002A4A9C"/>
    <w:rsid w:val="002A7331"/>
    <w:rsid w:val="002A7486"/>
    <w:rsid w:val="002A7556"/>
    <w:rsid w:val="002B4DED"/>
    <w:rsid w:val="002C36E4"/>
    <w:rsid w:val="002D0D94"/>
    <w:rsid w:val="002D1CEC"/>
    <w:rsid w:val="002D6C11"/>
    <w:rsid w:val="002E20C8"/>
    <w:rsid w:val="002F6EFF"/>
    <w:rsid w:val="00300EEE"/>
    <w:rsid w:val="00325894"/>
    <w:rsid w:val="00327E5E"/>
    <w:rsid w:val="00333DE7"/>
    <w:rsid w:val="00340725"/>
    <w:rsid w:val="00343E07"/>
    <w:rsid w:val="00347AEF"/>
    <w:rsid w:val="00363FDD"/>
    <w:rsid w:val="00385ABD"/>
    <w:rsid w:val="00392FCA"/>
    <w:rsid w:val="003A6597"/>
    <w:rsid w:val="003A66C6"/>
    <w:rsid w:val="003B0A5F"/>
    <w:rsid w:val="003C0A8A"/>
    <w:rsid w:val="003C257B"/>
    <w:rsid w:val="003D0470"/>
    <w:rsid w:val="003D55EC"/>
    <w:rsid w:val="003D5B43"/>
    <w:rsid w:val="003D6DDD"/>
    <w:rsid w:val="003E4F92"/>
    <w:rsid w:val="003F789C"/>
    <w:rsid w:val="004201BE"/>
    <w:rsid w:val="00421232"/>
    <w:rsid w:val="00423BA9"/>
    <w:rsid w:val="004253EA"/>
    <w:rsid w:val="004317F4"/>
    <w:rsid w:val="00433114"/>
    <w:rsid w:val="00435277"/>
    <w:rsid w:val="004504D4"/>
    <w:rsid w:val="00453B9E"/>
    <w:rsid w:val="00456E2B"/>
    <w:rsid w:val="004579FA"/>
    <w:rsid w:val="00464054"/>
    <w:rsid w:val="00473549"/>
    <w:rsid w:val="0047710E"/>
    <w:rsid w:val="004805A3"/>
    <w:rsid w:val="00483B80"/>
    <w:rsid w:val="00484EC3"/>
    <w:rsid w:val="00486649"/>
    <w:rsid w:val="004936AD"/>
    <w:rsid w:val="0049609E"/>
    <w:rsid w:val="004A3261"/>
    <w:rsid w:val="004A531E"/>
    <w:rsid w:val="004C16CD"/>
    <w:rsid w:val="004C60E0"/>
    <w:rsid w:val="004D5BD2"/>
    <w:rsid w:val="004E0EB8"/>
    <w:rsid w:val="004F221C"/>
    <w:rsid w:val="004F2DBF"/>
    <w:rsid w:val="004F73B5"/>
    <w:rsid w:val="004F74B9"/>
    <w:rsid w:val="00507B26"/>
    <w:rsid w:val="0052005B"/>
    <w:rsid w:val="0052219C"/>
    <w:rsid w:val="0052779A"/>
    <w:rsid w:val="00541A34"/>
    <w:rsid w:val="00542434"/>
    <w:rsid w:val="00543BEB"/>
    <w:rsid w:val="00546103"/>
    <w:rsid w:val="00552C64"/>
    <w:rsid w:val="0055555F"/>
    <w:rsid w:val="00561AAE"/>
    <w:rsid w:val="00567B2B"/>
    <w:rsid w:val="00583AAE"/>
    <w:rsid w:val="00590CFE"/>
    <w:rsid w:val="005A746E"/>
    <w:rsid w:val="005B5843"/>
    <w:rsid w:val="005C5D7C"/>
    <w:rsid w:val="005D02E7"/>
    <w:rsid w:val="005E5C49"/>
    <w:rsid w:val="005F37EC"/>
    <w:rsid w:val="00603857"/>
    <w:rsid w:val="00604467"/>
    <w:rsid w:val="00607584"/>
    <w:rsid w:val="00610E00"/>
    <w:rsid w:val="00616DF2"/>
    <w:rsid w:val="00625C9B"/>
    <w:rsid w:val="00630D62"/>
    <w:rsid w:val="00634180"/>
    <w:rsid w:val="00637CBF"/>
    <w:rsid w:val="00642618"/>
    <w:rsid w:val="0064505A"/>
    <w:rsid w:val="00654C81"/>
    <w:rsid w:val="00666211"/>
    <w:rsid w:val="00667CBD"/>
    <w:rsid w:val="0067106B"/>
    <w:rsid w:val="00683BB0"/>
    <w:rsid w:val="00690CF3"/>
    <w:rsid w:val="006916FC"/>
    <w:rsid w:val="006A0E5C"/>
    <w:rsid w:val="006A2294"/>
    <w:rsid w:val="006B2186"/>
    <w:rsid w:val="006B331A"/>
    <w:rsid w:val="006B60FE"/>
    <w:rsid w:val="006C2129"/>
    <w:rsid w:val="006D511A"/>
    <w:rsid w:val="006E314B"/>
    <w:rsid w:val="006E4137"/>
    <w:rsid w:val="006E4474"/>
    <w:rsid w:val="006E4CE2"/>
    <w:rsid w:val="006E6260"/>
    <w:rsid w:val="00701000"/>
    <w:rsid w:val="007041EB"/>
    <w:rsid w:val="00711716"/>
    <w:rsid w:val="0072581E"/>
    <w:rsid w:val="007306EA"/>
    <w:rsid w:val="00740EF9"/>
    <w:rsid w:val="007444D0"/>
    <w:rsid w:val="00746C02"/>
    <w:rsid w:val="00747D03"/>
    <w:rsid w:val="00750EBD"/>
    <w:rsid w:val="00751A52"/>
    <w:rsid w:val="0075245A"/>
    <w:rsid w:val="007553C0"/>
    <w:rsid w:val="00755D5A"/>
    <w:rsid w:val="007655DC"/>
    <w:rsid w:val="0077491E"/>
    <w:rsid w:val="00782EDC"/>
    <w:rsid w:val="00797888"/>
    <w:rsid w:val="007A6FB6"/>
    <w:rsid w:val="007A733C"/>
    <w:rsid w:val="007B158C"/>
    <w:rsid w:val="007B258D"/>
    <w:rsid w:val="007B28EC"/>
    <w:rsid w:val="007B4BFD"/>
    <w:rsid w:val="007B553B"/>
    <w:rsid w:val="007D5D01"/>
    <w:rsid w:val="007E123C"/>
    <w:rsid w:val="007E312C"/>
    <w:rsid w:val="007E670E"/>
    <w:rsid w:val="007F127F"/>
    <w:rsid w:val="007F2EAC"/>
    <w:rsid w:val="007F771F"/>
    <w:rsid w:val="00813B60"/>
    <w:rsid w:val="00844557"/>
    <w:rsid w:val="00852D5A"/>
    <w:rsid w:val="00857D6D"/>
    <w:rsid w:val="00863FFE"/>
    <w:rsid w:val="00865D18"/>
    <w:rsid w:val="00867AE7"/>
    <w:rsid w:val="008749A5"/>
    <w:rsid w:val="008838DE"/>
    <w:rsid w:val="008848AB"/>
    <w:rsid w:val="00891F5D"/>
    <w:rsid w:val="008B611D"/>
    <w:rsid w:val="008C111D"/>
    <w:rsid w:val="008D365D"/>
    <w:rsid w:val="008D4B6A"/>
    <w:rsid w:val="008E7442"/>
    <w:rsid w:val="009030AD"/>
    <w:rsid w:val="00904DA5"/>
    <w:rsid w:val="00904EC1"/>
    <w:rsid w:val="00907F09"/>
    <w:rsid w:val="009114AA"/>
    <w:rsid w:val="00925627"/>
    <w:rsid w:val="009343E9"/>
    <w:rsid w:val="00941FBD"/>
    <w:rsid w:val="009445D4"/>
    <w:rsid w:val="0094634C"/>
    <w:rsid w:val="009802B4"/>
    <w:rsid w:val="00992515"/>
    <w:rsid w:val="009A234E"/>
    <w:rsid w:val="009A59EB"/>
    <w:rsid w:val="009A685A"/>
    <w:rsid w:val="009B630F"/>
    <w:rsid w:val="009D7551"/>
    <w:rsid w:val="009E329E"/>
    <w:rsid w:val="009E4FC1"/>
    <w:rsid w:val="009E605B"/>
    <w:rsid w:val="009F0381"/>
    <w:rsid w:val="009F24B6"/>
    <w:rsid w:val="009F3E56"/>
    <w:rsid w:val="00A04C51"/>
    <w:rsid w:val="00A05EC8"/>
    <w:rsid w:val="00A14BF2"/>
    <w:rsid w:val="00A1515B"/>
    <w:rsid w:val="00A21DB4"/>
    <w:rsid w:val="00A22C3E"/>
    <w:rsid w:val="00A303FD"/>
    <w:rsid w:val="00A3201E"/>
    <w:rsid w:val="00A33305"/>
    <w:rsid w:val="00A35FD8"/>
    <w:rsid w:val="00A75311"/>
    <w:rsid w:val="00A7726F"/>
    <w:rsid w:val="00A80117"/>
    <w:rsid w:val="00A91B02"/>
    <w:rsid w:val="00A92595"/>
    <w:rsid w:val="00A96293"/>
    <w:rsid w:val="00AA61BA"/>
    <w:rsid w:val="00AA6849"/>
    <w:rsid w:val="00AB1796"/>
    <w:rsid w:val="00AB6B9F"/>
    <w:rsid w:val="00AC082B"/>
    <w:rsid w:val="00AC47AB"/>
    <w:rsid w:val="00AD1BEB"/>
    <w:rsid w:val="00AD2183"/>
    <w:rsid w:val="00AD5C19"/>
    <w:rsid w:val="00AE1E3C"/>
    <w:rsid w:val="00AE4163"/>
    <w:rsid w:val="00AE7F1F"/>
    <w:rsid w:val="00AF1F4E"/>
    <w:rsid w:val="00AF4757"/>
    <w:rsid w:val="00B107E6"/>
    <w:rsid w:val="00B12C4B"/>
    <w:rsid w:val="00B17D55"/>
    <w:rsid w:val="00B17E5A"/>
    <w:rsid w:val="00B22964"/>
    <w:rsid w:val="00B35DEF"/>
    <w:rsid w:val="00B408C6"/>
    <w:rsid w:val="00B40A35"/>
    <w:rsid w:val="00B428A6"/>
    <w:rsid w:val="00B438AA"/>
    <w:rsid w:val="00B512B3"/>
    <w:rsid w:val="00B55DD2"/>
    <w:rsid w:val="00B57127"/>
    <w:rsid w:val="00B80515"/>
    <w:rsid w:val="00B80E11"/>
    <w:rsid w:val="00B85E61"/>
    <w:rsid w:val="00B95677"/>
    <w:rsid w:val="00B95DF1"/>
    <w:rsid w:val="00BA28F4"/>
    <w:rsid w:val="00BA312E"/>
    <w:rsid w:val="00BC006E"/>
    <w:rsid w:val="00BD4F37"/>
    <w:rsid w:val="00BD64D6"/>
    <w:rsid w:val="00BE3068"/>
    <w:rsid w:val="00BF0198"/>
    <w:rsid w:val="00BF0E69"/>
    <w:rsid w:val="00BF6A4E"/>
    <w:rsid w:val="00BF75ED"/>
    <w:rsid w:val="00C054F5"/>
    <w:rsid w:val="00C05D3D"/>
    <w:rsid w:val="00C15C88"/>
    <w:rsid w:val="00C1678B"/>
    <w:rsid w:val="00C27BFD"/>
    <w:rsid w:val="00C30649"/>
    <w:rsid w:val="00C31713"/>
    <w:rsid w:val="00C4153E"/>
    <w:rsid w:val="00C43FEF"/>
    <w:rsid w:val="00C46423"/>
    <w:rsid w:val="00C466D9"/>
    <w:rsid w:val="00C5497C"/>
    <w:rsid w:val="00C646EE"/>
    <w:rsid w:val="00C66399"/>
    <w:rsid w:val="00C6748C"/>
    <w:rsid w:val="00C71FD2"/>
    <w:rsid w:val="00C7548D"/>
    <w:rsid w:val="00C77E87"/>
    <w:rsid w:val="00C836B2"/>
    <w:rsid w:val="00C90441"/>
    <w:rsid w:val="00C92C46"/>
    <w:rsid w:val="00C93802"/>
    <w:rsid w:val="00CA3C65"/>
    <w:rsid w:val="00CA49F8"/>
    <w:rsid w:val="00CA4C4B"/>
    <w:rsid w:val="00CB5060"/>
    <w:rsid w:val="00CB6151"/>
    <w:rsid w:val="00CC49EA"/>
    <w:rsid w:val="00CD4237"/>
    <w:rsid w:val="00CD5A38"/>
    <w:rsid w:val="00CD7AC2"/>
    <w:rsid w:val="00CE6737"/>
    <w:rsid w:val="00CF0997"/>
    <w:rsid w:val="00D05E03"/>
    <w:rsid w:val="00D2120E"/>
    <w:rsid w:val="00D2405D"/>
    <w:rsid w:val="00D27C25"/>
    <w:rsid w:val="00D3028C"/>
    <w:rsid w:val="00D32423"/>
    <w:rsid w:val="00D32D5A"/>
    <w:rsid w:val="00D32DC6"/>
    <w:rsid w:val="00D378B4"/>
    <w:rsid w:val="00D5006F"/>
    <w:rsid w:val="00D507D1"/>
    <w:rsid w:val="00D53594"/>
    <w:rsid w:val="00D5667D"/>
    <w:rsid w:val="00D650AF"/>
    <w:rsid w:val="00D92EBF"/>
    <w:rsid w:val="00DA4E31"/>
    <w:rsid w:val="00DB675D"/>
    <w:rsid w:val="00DC04E2"/>
    <w:rsid w:val="00DC3FF7"/>
    <w:rsid w:val="00DD1A03"/>
    <w:rsid w:val="00DD34F9"/>
    <w:rsid w:val="00DE18D3"/>
    <w:rsid w:val="00DF1491"/>
    <w:rsid w:val="00E036A8"/>
    <w:rsid w:val="00E0668D"/>
    <w:rsid w:val="00E224CC"/>
    <w:rsid w:val="00E24CBF"/>
    <w:rsid w:val="00E26718"/>
    <w:rsid w:val="00E35AEC"/>
    <w:rsid w:val="00E373EF"/>
    <w:rsid w:val="00E44716"/>
    <w:rsid w:val="00E50F68"/>
    <w:rsid w:val="00E57D82"/>
    <w:rsid w:val="00E600D1"/>
    <w:rsid w:val="00E63D52"/>
    <w:rsid w:val="00E647BE"/>
    <w:rsid w:val="00E669CB"/>
    <w:rsid w:val="00E7382E"/>
    <w:rsid w:val="00E84C10"/>
    <w:rsid w:val="00E902E8"/>
    <w:rsid w:val="00E92AB2"/>
    <w:rsid w:val="00E92BF0"/>
    <w:rsid w:val="00E94A03"/>
    <w:rsid w:val="00EA2F43"/>
    <w:rsid w:val="00EA6912"/>
    <w:rsid w:val="00EA7B22"/>
    <w:rsid w:val="00EB2C54"/>
    <w:rsid w:val="00EC4732"/>
    <w:rsid w:val="00EC6228"/>
    <w:rsid w:val="00EC62AD"/>
    <w:rsid w:val="00ED0E7E"/>
    <w:rsid w:val="00ED3721"/>
    <w:rsid w:val="00ED3880"/>
    <w:rsid w:val="00EE2445"/>
    <w:rsid w:val="00EE5EE3"/>
    <w:rsid w:val="00EE6D13"/>
    <w:rsid w:val="00EF6878"/>
    <w:rsid w:val="00F05F6A"/>
    <w:rsid w:val="00F12754"/>
    <w:rsid w:val="00F168E8"/>
    <w:rsid w:val="00F21553"/>
    <w:rsid w:val="00F307A6"/>
    <w:rsid w:val="00F46D24"/>
    <w:rsid w:val="00F47C27"/>
    <w:rsid w:val="00F53841"/>
    <w:rsid w:val="00F57C35"/>
    <w:rsid w:val="00F65B67"/>
    <w:rsid w:val="00F6611B"/>
    <w:rsid w:val="00F6684A"/>
    <w:rsid w:val="00F73CA2"/>
    <w:rsid w:val="00F74137"/>
    <w:rsid w:val="00F75F43"/>
    <w:rsid w:val="00F76AC9"/>
    <w:rsid w:val="00F800EF"/>
    <w:rsid w:val="00F8614D"/>
    <w:rsid w:val="00FA0209"/>
    <w:rsid w:val="00FA50BF"/>
    <w:rsid w:val="00FB4F21"/>
    <w:rsid w:val="00FC7A81"/>
    <w:rsid w:val="00FD6635"/>
    <w:rsid w:val="00FD7DFF"/>
    <w:rsid w:val="00FF6A14"/>
    <w:rsid w:val="02751E78"/>
    <w:rsid w:val="05CC0260"/>
    <w:rsid w:val="06981670"/>
    <w:rsid w:val="083E4D1A"/>
    <w:rsid w:val="08485B98"/>
    <w:rsid w:val="0A206167"/>
    <w:rsid w:val="0D622B5E"/>
    <w:rsid w:val="0FA45DAA"/>
    <w:rsid w:val="14CD18FF"/>
    <w:rsid w:val="16500077"/>
    <w:rsid w:val="196D1903"/>
    <w:rsid w:val="1AA83B43"/>
    <w:rsid w:val="1F1D3483"/>
    <w:rsid w:val="20C37CDF"/>
    <w:rsid w:val="278A3680"/>
    <w:rsid w:val="2A587A65"/>
    <w:rsid w:val="30FC114A"/>
    <w:rsid w:val="31F462C5"/>
    <w:rsid w:val="32544FB6"/>
    <w:rsid w:val="3262221D"/>
    <w:rsid w:val="37054AD1"/>
    <w:rsid w:val="377D0B0B"/>
    <w:rsid w:val="3C2C0E71"/>
    <w:rsid w:val="41BD4926"/>
    <w:rsid w:val="45EE7C0F"/>
    <w:rsid w:val="4A0F5443"/>
    <w:rsid w:val="4A804742"/>
    <w:rsid w:val="4C7F10EB"/>
    <w:rsid w:val="4D1B0752"/>
    <w:rsid w:val="4FEB6B02"/>
    <w:rsid w:val="5435074C"/>
    <w:rsid w:val="55A06D91"/>
    <w:rsid w:val="592F7A5F"/>
    <w:rsid w:val="5D017965"/>
    <w:rsid w:val="62175534"/>
    <w:rsid w:val="670A5668"/>
    <w:rsid w:val="67A37521"/>
    <w:rsid w:val="7157594D"/>
    <w:rsid w:val="71A1306D"/>
    <w:rsid w:val="75510906"/>
    <w:rsid w:val="779C2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9"/>
    <w:semiHidden/>
    <w:unhideWhenUsed/>
    <w:qFormat/>
    <w:uiPriority w:val="99"/>
    <w:pPr>
      <w:spacing w:after="120"/>
      <w:ind w:left="420" w:leftChars="2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link w:val="20"/>
    <w:qFormat/>
    <w:uiPriority w:val="0"/>
    <w:pPr>
      <w:ind w:firstLine="420" w:firstLineChars="200"/>
    </w:pPr>
    <w:rPr>
      <w:rFonts w:ascii="Times New Roman" w:hAnsi="Times New Roman" w:eastAsia="宋体" w:cs="Times New Roman"/>
      <w:szCs w:val="24"/>
    </w:rPr>
  </w:style>
  <w:style w:type="table" w:styleId="9">
    <w:name w:val="Table Grid"/>
    <w:basedOn w:val="8"/>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rFonts w:hint="default" w:ascii="ˎ̥" w:hAnsi="ˎ̥"/>
      <w:color w:val="000000"/>
      <w:sz w:val="18"/>
      <w:szCs w:val="18"/>
      <w:u w:val="none"/>
    </w:rPr>
  </w:style>
  <w:style w:type="character" w:customStyle="1" w:styleId="12">
    <w:name w:val="标题 1 Char"/>
    <w:basedOn w:val="10"/>
    <w:link w:val="2"/>
    <w:qFormat/>
    <w:uiPriority w:val="9"/>
    <w:rPr>
      <w:rFonts w:ascii="Times New Roman" w:hAnsi="Times New Roman" w:eastAsia="宋体" w:cs="Times New Roman"/>
      <w:b/>
      <w:bCs/>
      <w:kern w:val="44"/>
      <w:sz w:val="44"/>
      <w:szCs w:val="44"/>
    </w:rPr>
  </w:style>
  <w:style w:type="character" w:customStyle="1" w:styleId="13">
    <w:name w:val="页脚 Char"/>
    <w:basedOn w:val="10"/>
    <w:link w:val="4"/>
    <w:semiHidden/>
    <w:qFormat/>
    <w:uiPriority w:val="99"/>
    <w:rPr>
      <w:sz w:val="18"/>
      <w:szCs w:val="18"/>
    </w:rPr>
  </w:style>
  <w:style w:type="character" w:customStyle="1" w:styleId="14">
    <w:name w:val="页眉 Char"/>
    <w:basedOn w:val="10"/>
    <w:link w:val="5"/>
    <w:semiHidden/>
    <w:qFormat/>
    <w:uiPriority w:val="99"/>
    <w:rPr>
      <w:sz w:val="18"/>
      <w:szCs w:val="18"/>
    </w:rPr>
  </w:style>
  <w:style w:type="paragraph" w:styleId="15">
    <w:name w:val="List Paragraph"/>
    <w:basedOn w:val="1"/>
    <w:link w:val="16"/>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6">
    <w:name w:val="列出段落 Char"/>
    <w:link w:val="15"/>
    <w:qFormat/>
    <w:uiPriority w:val="34"/>
    <w:rPr>
      <w:rFonts w:ascii="宋体" w:hAnsi="宋体" w:eastAsia="宋体" w:cs="宋体"/>
      <w:sz w:val="24"/>
      <w:szCs w:val="24"/>
    </w:rPr>
  </w:style>
  <w:style w:type="paragraph" w:customStyle="1" w:styleId="17">
    <w:name w:val="彩色列表 - 强调文字颜色 11"/>
    <w:basedOn w:val="1"/>
    <w:qFormat/>
    <w:uiPriority w:val="34"/>
    <w:pPr>
      <w:ind w:firstLine="420" w:firstLineChars="200"/>
    </w:pPr>
    <w:rPr>
      <w:rFonts w:ascii="Times New Roman" w:hAnsi="Times New Roman" w:eastAsia="宋体" w:cs="Times New Roman"/>
      <w:szCs w:val="24"/>
    </w:rPr>
  </w:style>
  <w:style w:type="character" w:customStyle="1" w:styleId="18">
    <w:name w:val="f-db1"/>
    <w:basedOn w:val="10"/>
    <w:qFormat/>
    <w:uiPriority w:val="0"/>
  </w:style>
  <w:style w:type="character" w:customStyle="1" w:styleId="19">
    <w:name w:val="正文文本缩进 Char"/>
    <w:basedOn w:val="10"/>
    <w:link w:val="3"/>
    <w:semiHidden/>
    <w:qFormat/>
    <w:uiPriority w:val="99"/>
    <w:rPr>
      <w:kern w:val="2"/>
      <w:sz w:val="21"/>
      <w:szCs w:val="22"/>
    </w:rPr>
  </w:style>
  <w:style w:type="character" w:customStyle="1" w:styleId="20">
    <w:name w:val="正文首行缩进 2 Char"/>
    <w:basedOn w:val="19"/>
    <w:link w:val="7"/>
    <w:qFormat/>
    <w:uiPriority w:val="0"/>
    <w:rPr>
      <w:rFonts w:ascii="Times New Roman" w:hAnsi="Times New Roman" w:eastAsia="宋体" w:cs="Times New Roman"/>
      <w:szCs w:val="24"/>
    </w:rPr>
  </w:style>
  <w:style w:type="paragraph" w:customStyle="1" w:styleId="21">
    <w:name w:val="_Style 4"/>
    <w:basedOn w:val="1"/>
    <w:next w:val="1"/>
    <w:qFormat/>
    <w:uiPriority w:val="0"/>
    <w:pPr>
      <w:widowControl/>
      <w:spacing w:line="360" w:lineRule="auto"/>
      <w:jc w:val="lef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58DC50-221D-412A-9E9B-DE3372AAD5CD}">
  <ds:schemaRefs/>
</ds:datastoreItem>
</file>

<file path=docProps/app.xml><?xml version="1.0" encoding="utf-8"?>
<Properties xmlns="http://schemas.openxmlformats.org/officeDocument/2006/extended-properties" xmlns:vt="http://schemas.openxmlformats.org/officeDocument/2006/docPropsVTypes">
  <Template>Normal</Template>
  <Company>严胡子电脑</Company>
  <Pages>3</Pages>
  <Words>2719</Words>
  <Characters>3140</Characters>
  <Lines>42</Lines>
  <Paragraphs>11</Paragraphs>
  <TotalTime>0</TotalTime>
  <ScaleCrop>false</ScaleCrop>
  <LinksUpToDate>false</LinksUpToDate>
  <CharactersWithSpaces>3199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2021-06-03T03:11:00Z</dcterms:created>
  <dc:creator>YHZ</dc:creator>
  <cp:lastModifiedBy>asdwsd</cp:lastModifiedBy>
  <cp:lastPrinted>2025-04-10T02:30:00Z</cp:lastPrinted>
  <dcterms:modified xsi:type="dcterms:W3CDTF">2025-04-10T06:41:29Z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4DBFA42875DF4F8B9DC7030429E47E87_13</vt:lpwstr>
  </property>
  <property fmtid="{D5CDD505-2E9C-101B-9397-08002B2CF9AE}" pid="4" name="KSOTemplateDocerSaveRecord">
    <vt:lpwstr>eyJoZGlkIjoiMzM5MmU3M2I5MGE3YzExNjM2NWNmYmJjYzU1MGVjNTgiLCJ1c2VySWQiOiIyMDkxMDQ1ODEifQ==</vt:lpwstr>
  </property>
</Properties>
</file>